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37BD" w14:textId="77777777" w:rsidR="005F14DE" w:rsidRPr="000557F9" w:rsidRDefault="005F14DE" w:rsidP="005F14DE">
      <w:pPr>
        <w:jc w:val="left"/>
        <w:rPr>
          <w:rFonts w:cs="Times New Roman"/>
          <w:szCs w:val="24"/>
        </w:rPr>
      </w:pPr>
      <w:r>
        <w:rPr>
          <w:rFonts w:cs="Times New Roman"/>
          <w:noProof/>
          <w:szCs w:val="24"/>
          <w:lang w:eastAsia="cs-CZ"/>
        </w:rPr>
        <w:drawing>
          <wp:inline distT="0" distB="0" distL="0" distR="0" wp14:anchorId="1429A316" wp14:editId="1C623D37">
            <wp:extent cx="5886450" cy="29260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2926080"/>
                    </a:xfrm>
                    <a:prstGeom prst="rect">
                      <a:avLst/>
                    </a:prstGeom>
                    <a:noFill/>
                    <a:ln>
                      <a:noFill/>
                    </a:ln>
                  </pic:spPr>
                </pic:pic>
              </a:graphicData>
            </a:graphic>
          </wp:inline>
        </w:drawing>
      </w:r>
    </w:p>
    <w:p w14:paraId="4308239B" w14:textId="77777777" w:rsidR="005F14DE" w:rsidRPr="000557F9" w:rsidRDefault="005F14DE" w:rsidP="005F14DE">
      <w:pPr>
        <w:jc w:val="center"/>
        <w:rPr>
          <w:rFonts w:cs="Times New Roman"/>
          <w:szCs w:val="24"/>
        </w:rPr>
      </w:pPr>
    </w:p>
    <w:p w14:paraId="2A4ABD5D" w14:textId="77777777" w:rsidR="005F14DE" w:rsidRPr="00DA228C" w:rsidRDefault="005F14DE" w:rsidP="005F14DE">
      <w:pPr>
        <w:jc w:val="center"/>
        <w:rPr>
          <w:rFonts w:cs="Times New Roman"/>
          <w:sz w:val="28"/>
          <w:szCs w:val="24"/>
        </w:rPr>
      </w:pPr>
    </w:p>
    <w:p w14:paraId="104F5A47" w14:textId="77777777" w:rsidR="005F14DE" w:rsidRPr="00DA228C" w:rsidRDefault="005F14DE" w:rsidP="005F14DE">
      <w:pPr>
        <w:jc w:val="center"/>
        <w:rPr>
          <w:rFonts w:cs="Times New Roman"/>
          <w:b/>
          <w:sz w:val="40"/>
          <w:szCs w:val="36"/>
        </w:rPr>
      </w:pPr>
      <w:r w:rsidRPr="00DA228C">
        <w:rPr>
          <w:rFonts w:cs="Times New Roman"/>
          <w:b/>
          <w:sz w:val="40"/>
          <w:szCs w:val="36"/>
        </w:rPr>
        <w:t xml:space="preserve">Manuál </w:t>
      </w:r>
    </w:p>
    <w:p w14:paraId="4F46FFD4" w14:textId="77777777" w:rsidR="005F14DE" w:rsidRPr="00DA228C" w:rsidRDefault="005F14DE" w:rsidP="005F14DE">
      <w:pPr>
        <w:jc w:val="center"/>
        <w:rPr>
          <w:rFonts w:cs="Times New Roman"/>
          <w:b/>
          <w:sz w:val="40"/>
          <w:szCs w:val="36"/>
        </w:rPr>
      </w:pPr>
      <w:r w:rsidRPr="00DA228C">
        <w:rPr>
          <w:rFonts w:cs="Times New Roman"/>
          <w:b/>
          <w:sz w:val="40"/>
          <w:szCs w:val="36"/>
        </w:rPr>
        <w:t>pro práci s doporučenou tabulkou</w:t>
      </w:r>
    </w:p>
    <w:p w14:paraId="71D13E08" w14:textId="77777777" w:rsidR="005F14DE" w:rsidRPr="00DA228C" w:rsidRDefault="005F14DE" w:rsidP="005F14DE">
      <w:pPr>
        <w:jc w:val="center"/>
        <w:rPr>
          <w:rFonts w:cs="Times New Roman"/>
          <w:b/>
          <w:sz w:val="40"/>
          <w:szCs w:val="36"/>
        </w:rPr>
      </w:pPr>
      <w:r w:rsidRPr="00DA228C">
        <w:rPr>
          <w:rFonts w:cs="Times New Roman"/>
          <w:b/>
          <w:sz w:val="40"/>
          <w:szCs w:val="36"/>
        </w:rPr>
        <w:t xml:space="preserve"> k určování výživného dětí</w:t>
      </w:r>
    </w:p>
    <w:p w14:paraId="0345A6D5" w14:textId="77777777" w:rsidR="005F14DE" w:rsidRDefault="005F14DE" w:rsidP="005F14DE">
      <w:pPr>
        <w:jc w:val="center"/>
        <w:rPr>
          <w:rFonts w:cs="Times New Roman"/>
          <w:szCs w:val="24"/>
        </w:rPr>
      </w:pPr>
    </w:p>
    <w:p w14:paraId="221DD87A" w14:textId="77777777" w:rsidR="005F14DE" w:rsidRPr="000557F9" w:rsidRDefault="005F14DE" w:rsidP="005F14DE">
      <w:pPr>
        <w:rPr>
          <w:rFonts w:cs="Times New Roman"/>
          <w:szCs w:val="24"/>
        </w:rPr>
      </w:pPr>
    </w:p>
    <w:p w14:paraId="6E068268" w14:textId="77777777" w:rsidR="005F14DE" w:rsidRPr="000557F9" w:rsidRDefault="005F14DE" w:rsidP="005F14DE">
      <w:pPr>
        <w:jc w:val="center"/>
        <w:rPr>
          <w:rFonts w:cs="Times New Roman"/>
          <w:szCs w:val="24"/>
        </w:rPr>
      </w:pPr>
    </w:p>
    <w:p w14:paraId="0AC5C892" w14:textId="77777777" w:rsidR="005F14DE" w:rsidRPr="000557F9" w:rsidRDefault="005F14DE" w:rsidP="005F14DE">
      <w:pPr>
        <w:jc w:val="center"/>
        <w:rPr>
          <w:rFonts w:cs="Times New Roman"/>
          <w:szCs w:val="24"/>
        </w:rPr>
      </w:pPr>
    </w:p>
    <w:p w14:paraId="60AC3505" w14:textId="77777777" w:rsidR="005F14DE" w:rsidRPr="000557F9" w:rsidRDefault="005F14DE" w:rsidP="005F14DE">
      <w:pPr>
        <w:rPr>
          <w:rFonts w:cs="Times New Roman"/>
          <w:szCs w:val="24"/>
        </w:rPr>
      </w:pPr>
    </w:p>
    <w:p w14:paraId="497AF28F" w14:textId="77777777" w:rsidR="005F14DE" w:rsidRPr="000557F9" w:rsidRDefault="005F14DE" w:rsidP="005F14DE">
      <w:pPr>
        <w:rPr>
          <w:rFonts w:cs="Times New Roman"/>
          <w:szCs w:val="24"/>
        </w:rPr>
      </w:pPr>
    </w:p>
    <w:p w14:paraId="0CB82774" w14:textId="77777777" w:rsidR="005F14DE" w:rsidRPr="000557F9" w:rsidRDefault="005F14DE" w:rsidP="005F14DE">
      <w:pPr>
        <w:rPr>
          <w:rFonts w:cs="Times New Roman"/>
          <w:szCs w:val="24"/>
        </w:rPr>
      </w:pPr>
    </w:p>
    <w:p w14:paraId="0FCE35E8" w14:textId="77777777" w:rsidR="005F14DE" w:rsidRPr="000557F9" w:rsidRDefault="005F14DE" w:rsidP="005F14DE">
      <w:pPr>
        <w:rPr>
          <w:rFonts w:cs="Times New Roman"/>
          <w:szCs w:val="24"/>
        </w:rPr>
      </w:pPr>
    </w:p>
    <w:p w14:paraId="74F6B190" w14:textId="77777777" w:rsidR="005F14DE" w:rsidRPr="000557F9" w:rsidRDefault="005F14DE" w:rsidP="005F14DE">
      <w:pPr>
        <w:rPr>
          <w:rFonts w:cs="Times New Roman"/>
          <w:szCs w:val="24"/>
        </w:rPr>
      </w:pPr>
    </w:p>
    <w:p w14:paraId="3706C891" w14:textId="77777777" w:rsidR="005F14DE" w:rsidRPr="000557F9" w:rsidRDefault="005F14DE" w:rsidP="005F14DE">
      <w:pPr>
        <w:rPr>
          <w:rFonts w:cs="Times New Roman"/>
          <w:szCs w:val="24"/>
        </w:rPr>
      </w:pPr>
    </w:p>
    <w:p w14:paraId="1A4921D8" w14:textId="77777777" w:rsidR="005F14DE" w:rsidRPr="000557F9" w:rsidRDefault="005F14DE" w:rsidP="005F14DE">
      <w:pPr>
        <w:rPr>
          <w:rFonts w:cs="Times New Roman"/>
          <w:szCs w:val="24"/>
        </w:rPr>
      </w:pPr>
    </w:p>
    <w:p w14:paraId="02A413AB" w14:textId="77777777" w:rsidR="005F14DE" w:rsidRPr="000557F9" w:rsidRDefault="005F14DE" w:rsidP="005F14DE">
      <w:pPr>
        <w:rPr>
          <w:rFonts w:cs="Times New Roman"/>
          <w:szCs w:val="24"/>
        </w:rPr>
      </w:pPr>
    </w:p>
    <w:p w14:paraId="6B934370" w14:textId="77777777" w:rsidR="005F14DE" w:rsidRPr="000557F9" w:rsidRDefault="005F14DE" w:rsidP="005F14DE">
      <w:pPr>
        <w:rPr>
          <w:rFonts w:cs="Times New Roman"/>
          <w:szCs w:val="24"/>
        </w:rPr>
      </w:pPr>
    </w:p>
    <w:p w14:paraId="0B8F0200" w14:textId="77777777" w:rsidR="005F14DE" w:rsidRDefault="005F14DE" w:rsidP="005F14DE">
      <w:pPr>
        <w:pStyle w:val="Nadpis1"/>
      </w:pPr>
      <w:r>
        <w:lastRenderedPageBreak/>
        <w:t>Úvod</w:t>
      </w:r>
    </w:p>
    <w:p w14:paraId="084C6A2F" w14:textId="77777777" w:rsidR="005F14DE" w:rsidRDefault="005F14DE" w:rsidP="005F14DE">
      <w:pPr>
        <w:rPr>
          <w:rFonts w:cs="Times New Roman"/>
          <w:szCs w:val="24"/>
        </w:rPr>
      </w:pPr>
      <w:r w:rsidRPr="000557F9">
        <w:rPr>
          <w:rFonts w:cs="Times New Roman"/>
          <w:szCs w:val="24"/>
        </w:rPr>
        <w:t xml:space="preserve">V roce 2010 vydalo Ministerstvo spravedlnosti materiál </w:t>
      </w:r>
      <w:r w:rsidRPr="00EF6A7F">
        <w:rPr>
          <w:rFonts w:cs="Times New Roman"/>
          <w:i/>
          <w:szCs w:val="24"/>
        </w:rPr>
        <w:t>Doporučená výchozí rozmezí pro stanovení výše výživného</w:t>
      </w:r>
      <w:r w:rsidRPr="000557F9">
        <w:rPr>
          <w:rFonts w:cs="Times New Roman"/>
          <w:szCs w:val="24"/>
        </w:rPr>
        <w:t xml:space="preserve"> za účelem sjednocení rozhodovací praxe soudů v otázkách výživn</w:t>
      </w:r>
      <w:r>
        <w:rPr>
          <w:rFonts w:cs="Times New Roman"/>
          <w:szCs w:val="24"/>
        </w:rPr>
        <w:t xml:space="preserve">ého na nezaopatřené děti. </w:t>
      </w:r>
    </w:p>
    <w:p w14:paraId="769238AE" w14:textId="77777777" w:rsidR="005F14DE" w:rsidRDefault="005F14DE" w:rsidP="005F14DE">
      <w:pPr>
        <w:rPr>
          <w:rFonts w:cs="Times New Roman"/>
          <w:szCs w:val="24"/>
        </w:rPr>
      </w:pPr>
      <w:r>
        <w:rPr>
          <w:rFonts w:cs="Times New Roman"/>
          <w:szCs w:val="24"/>
        </w:rPr>
        <w:t xml:space="preserve">Užívání doporučených rozmezí ministerstvo po uplynutí 10 let jejich aplikace vyhodnotilo a v roce 2021 zpracovalo </w:t>
      </w:r>
      <w:r w:rsidRPr="00EF6A7F">
        <w:rPr>
          <w:rFonts w:cs="Times New Roman"/>
          <w:i/>
          <w:szCs w:val="24"/>
        </w:rPr>
        <w:t>Analýzu využívání tzv. doporučující tabulky k určování výživnéh</w:t>
      </w:r>
      <w:r w:rsidRPr="00EF6A7F">
        <w:rPr>
          <w:rFonts w:cs="Times New Roman"/>
          <w:szCs w:val="24"/>
        </w:rPr>
        <w:t>o</w:t>
      </w:r>
      <w:r w:rsidRPr="00E207E9">
        <w:rPr>
          <w:rFonts w:cs="Times New Roman"/>
          <w:vertAlign w:val="superscript"/>
        </w:rPr>
        <w:footnoteReference w:id="1"/>
      </w:r>
      <w:r>
        <w:rPr>
          <w:rFonts w:cs="Times New Roman"/>
          <w:szCs w:val="24"/>
        </w:rPr>
        <w:t>.</w:t>
      </w:r>
    </w:p>
    <w:p w14:paraId="62956079" w14:textId="77777777" w:rsidR="005F14DE" w:rsidRDefault="005F14DE" w:rsidP="005F14DE">
      <w:pPr>
        <w:rPr>
          <w:rFonts w:cs="Times New Roman"/>
          <w:szCs w:val="24"/>
        </w:rPr>
      </w:pPr>
      <w:r>
        <w:rPr>
          <w:rFonts w:cs="Times New Roman"/>
          <w:szCs w:val="24"/>
        </w:rPr>
        <w:t xml:space="preserve">Analýza se podrobně věnuje tomu, v jaké výši je výživné v rozhodovací praxi soudů určováno a jaké skutečnosti jeho výši ovlivňují. </w:t>
      </w:r>
      <w:r w:rsidRPr="00B35B7D">
        <w:rPr>
          <w:rFonts w:cs="Times New Roman"/>
          <w:szCs w:val="24"/>
        </w:rPr>
        <w:t xml:space="preserve">Vedle vlivu konkrétních </w:t>
      </w:r>
      <w:r>
        <w:rPr>
          <w:rFonts w:cs="Times New Roman"/>
          <w:szCs w:val="24"/>
        </w:rPr>
        <w:t>okolností</w:t>
      </w:r>
      <w:r w:rsidRPr="00B35B7D">
        <w:rPr>
          <w:rFonts w:cs="Times New Roman"/>
          <w:szCs w:val="24"/>
        </w:rPr>
        <w:t xml:space="preserve"> (věk dítěte, výše příjmu povinného, počet vyživovacích povinností, míra zapojení rodiče v rámci péče a styku) se </w:t>
      </w:r>
      <w:r>
        <w:rPr>
          <w:rFonts w:cs="Times New Roman"/>
          <w:szCs w:val="24"/>
        </w:rPr>
        <w:t>Analýza</w:t>
      </w:r>
      <w:r w:rsidRPr="00B35B7D">
        <w:rPr>
          <w:rFonts w:cs="Times New Roman"/>
          <w:szCs w:val="24"/>
        </w:rPr>
        <w:t xml:space="preserve"> také zabýv</w:t>
      </w:r>
      <w:r>
        <w:rPr>
          <w:rFonts w:cs="Times New Roman"/>
          <w:szCs w:val="24"/>
        </w:rPr>
        <w:t>á</w:t>
      </w:r>
      <w:r w:rsidRPr="00B35B7D">
        <w:rPr>
          <w:rFonts w:cs="Times New Roman"/>
          <w:szCs w:val="24"/>
        </w:rPr>
        <w:t xml:space="preserve"> širším</w:t>
      </w:r>
      <w:r>
        <w:rPr>
          <w:rFonts w:cs="Times New Roman"/>
          <w:szCs w:val="24"/>
        </w:rPr>
        <w:t>i</w:t>
      </w:r>
      <w:r w:rsidRPr="00B35B7D">
        <w:rPr>
          <w:rFonts w:cs="Times New Roman"/>
          <w:szCs w:val="24"/>
        </w:rPr>
        <w:t xml:space="preserve"> </w:t>
      </w:r>
      <w:r>
        <w:rPr>
          <w:rFonts w:cs="Times New Roman"/>
          <w:szCs w:val="24"/>
        </w:rPr>
        <w:t>souvislostmi</w:t>
      </w:r>
      <w:r w:rsidRPr="00B35B7D">
        <w:rPr>
          <w:rFonts w:cs="Times New Roman"/>
          <w:szCs w:val="24"/>
        </w:rPr>
        <w:t>. Jsou v </w:t>
      </w:r>
      <w:r>
        <w:rPr>
          <w:rFonts w:cs="Times New Roman"/>
          <w:szCs w:val="24"/>
        </w:rPr>
        <w:t>ní</w:t>
      </w:r>
      <w:r w:rsidRPr="00B35B7D">
        <w:rPr>
          <w:rFonts w:cs="Times New Roman"/>
          <w:szCs w:val="24"/>
        </w:rPr>
        <w:t xml:space="preserve"> představen</w:t>
      </w:r>
      <w:r>
        <w:rPr>
          <w:rFonts w:cs="Times New Roman"/>
          <w:szCs w:val="24"/>
        </w:rPr>
        <w:t>y</w:t>
      </w:r>
      <w:r w:rsidRPr="00B35B7D">
        <w:rPr>
          <w:rFonts w:cs="Times New Roman"/>
          <w:szCs w:val="24"/>
        </w:rPr>
        <w:t xml:space="preserve"> </w:t>
      </w:r>
      <w:r>
        <w:rPr>
          <w:rFonts w:cs="Times New Roman"/>
          <w:szCs w:val="24"/>
        </w:rPr>
        <w:t xml:space="preserve">a </w:t>
      </w:r>
      <w:r w:rsidRPr="00B35B7D">
        <w:rPr>
          <w:rFonts w:cs="Times New Roman"/>
          <w:szCs w:val="24"/>
        </w:rPr>
        <w:t>vyhodnocen</w:t>
      </w:r>
      <w:r>
        <w:rPr>
          <w:rFonts w:cs="Times New Roman"/>
          <w:szCs w:val="24"/>
        </w:rPr>
        <w:t>y</w:t>
      </w:r>
      <w:r w:rsidRPr="00B35B7D">
        <w:rPr>
          <w:rFonts w:cs="Times New Roman"/>
          <w:szCs w:val="24"/>
        </w:rPr>
        <w:t xml:space="preserve"> statistick</w:t>
      </w:r>
      <w:r>
        <w:rPr>
          <w:rFonts w:cs="Times New Roman"/>
          <w:szCs w:val="24"/>
        </w:rPr>
        <w:t>é</w:t>
      </w:r>
      <w:r w:rsidRPr="00B35B7D">
        <w:rPr>
          <w:rFonts w:cs="Times New Roman"/>
          <w:szCs w:val="24"/>
        </w:rPr>
        <w:t xml:space="preserve"> </w:t>
      </w:r>
      <w:r>
        <w:rPr>
          <w:rFonts w:cs="Times New Roman"/>
          <w:szCs w:val="24"/>
        </w:rPr>
        <w:t>údaje</w:t>
      </w:r>
      <w:r w:rsidRPr="00B35B7D">
        <w:rPr>
          <w:rFonts w:cs="Times New Roman"/>
          <w:szCs w:val="24"/>
        </w:rPr>
        <w:t xml:space="preserve"> o struktuře a výdajích různých typů domácností a jejich regionální rozdíly. Zjištěn</w:t>
      </w:r>
      <w:r>
        <w:rPr>
          <w:rFonts w:cs="Times New Roman"/>
          <w:szCs w:val="24"/>
        </w:rPr>
        <w:t>é</w:t>
      </w:r>
      <w:r w:rsidRPr="00B35B7D">
        <w:rPr>
          <w:rFonts w:cs="Times New Roman"/>
          <w:szCs w:val="24"/>
        </w:rPr>
        <w:t xml:space="preserve"> </w:t>
      </w:r>
      <w:r>
        <w:rPr>
          <w:rFonts w:cs="Times New Roman"/>
          <w:szCs w:val="24"/>
        </w:rPr>
        <w:t>skutečnosti</w:t>
      </w:r>
      <w:r w:rsidRPr="00B35B7D">
        <w:rPr>
          <w:rFonts w:cs="Times New Roman"/>
          <w:szCs w:val="24"/>
        </w:rPr>
        <w:t xml:space="preserve"> </w:t>
      </w:r>
      <w:r>
        <w:rPr>
          <w:rFonts w:cs="Times New Roman"/>
          <w:szCs w:val="24"/>
        </w:rPr>
        <w:t>jsou porovnány</w:t>
      </w:r>
      <w:r w:rsidRPr="00B35B7D">
        <w:rPr>
          <w:rFonts w:cs="Times New Roman"/>
          <w:szCs w:val="24"/>
        </w:rPr>
        <w:t xml:space="preserve"> s </w:t>
      </w:r>
      <w:r>
        <w:rPr>
          <w:rFonts w:cs="Times New Roman"/>
          <w:szCs w:val="24"/>
        </w:rPr>
        <w:t>hodnotami doporučující tabulky z roku 2010</w:t>
      </w:r>
      <w:r w:rsidRPr="00B35B7D">
        <w:rPr>
          <w:rFonts w:cs="Times New Roman"/>
          <w:szCs w:val="24"/>
        </w:rPr>
        <w:t xml:space="preserve">. </w:t>
      </w:r>
    </w:p>
    <w:p w14:paraId="17A2E624" w14:textId="177B08B3" w:rsidR="005F14DE" w:rsidRDefault="005F14DE" w:rsidP="005F14DE">
      <w:pPr>
        <w:rPr>
          <w:rFonts w:cs="Times New Roman"/>
          <w:szCs w:val="24"/>
        </w:rPr>
      </w:pPr>
      <w:r w:rsidRPr="00B35B7D">
        <w:rPr>
          <w:rFonts w:cs="Times New Roman"/>
          <w:szCs w:val="24"/>
        </w:rPr>
        <w:t xml:space="preserve">Dosavadní doporučující tabulka </w:t>
      </w:r>
      <w:r>
        <w:rPr>
          <w:rFonts w:cs="Times New Roman"/>
          <w:szCs w:val="24"/>
        </w:rPr>
        <w:t>je Analýzou</w:t>
      </w:r>
      <w:r w:rsidRPr="00B35B7D">
        <w:rPr>
          <w:rFonts w:cs="Times New Roman"/>
          <w:szCs w:val="24"/>
        </w:rPr>
        <w:t xml:space="preserve"> shledána jako neodpovídající </w:t>
      </w:r>
      <w:r>
        <w:rPr>
          <w:rFonts w:cs="Times New Roman"/>
          <w:szCs w:val="24"/>
        </w:rPr>
        <w:t xml:space="preserve">aktuální soudní </w:t>
      </w:r>
      <w:r w:rsidRPr="00B35B7D">
        <w:rPr>
          <w:rFonts w:cs="Times New Roman"/>
          <w:szCs w:val="24"/>
        </w:rPr>
        <w:t xml:space="preserve">praxi. Proto </w:t>
      </w:r>
      <w:r>
        <w:rPr>
          <w:rFonts w:cs="Times New Roman"/>
          <w:szCs w:val="24"/>
        </w:rPr>
        <w:t>je součástí Analýzy i návrh</w:t>
      </w:r>
      <w:r w:rsidRPr="00B35B7D">
        <w:rPr>
          <w:rFonts w:cs="Times New Roman"/>
          <w:szCs w:val="24"/>
        </w:rPr>
        <w:t xml:space="preserve"> </w:t>
      </w:r>
      <w:r>
        <w:rPr>
          <w:rFonts w:cs="Times New Roman"/>
          <w:szCs w:val="24"/>
        </w:rPr>
        <w:t>úprav doporučující tabulky. Zohledňuje se v praxi dosahovaná výše výživného a přihlíží se i k obdobným</w:t>
      </w:r>
      <w:r w:rsidRPr="00B35B7D">
        <w:rPr>
          <w:rFonts w:cs="Times New Roman"/>
          <w:szCs w:val="24"/>
        </w:rPr>
        <w:t xml:space="preserve"> zahraničním </w:t>
      </w:r>
      <w:r>
        <w:rPr>
          <w:rFonts w:cs="Times New Roman"/>
          <w:szCs w:val="24"/>
        </w:rPr>
        <w:t>pomůckám</w:t>
      </w:r>
      <w:r w:rsidRPr="00B35B7D">
        <w:rPr>
          <w:rFonts w:cs="Times New Roman"/>
          <w:szCs w:val="24"/>
        </w:rPr>
        <w:t>.</w:t>
      </w:r>
      <w:r>
        <w:rPr>
          <w:rFonts w:cs="Times New Roman"/>
          <w:szCs w:val="24"/>
        </w:rPr>
        <w:t xml:space="preserve"> Analýza včetně návrhů na úpravy dosavadní tabulk</w:t>
      </w:r>
      <w:r w:rsidR="000A4523">
        <w:rPr>
          <w:rFonts w:cs="Times New Roman"/>
          <w:szCs w:val="24"/>
        </w:rPr>
        <w:t>y</w:t>
      </w:r>
      <w:r>
        <w:rPr>
          <w:rFonts w:cs="Times New Roman"/>
          <w:szCs w:val="24"/>
        </w:rPr>
        <w:t xml:space="preserve"> byla v průběhu tvorby konzultována s odborníky, kteří se dlouhodobě věnují tématu výživného. Analýza byla dále předložena k připomínkám nejen odborné veřejnosti, ale také dalším zájemcům.</w:t>
      </w:r>
    </w:p>
    <w:p w14:paraId="5F63A0EF" w14:textId="77777777" w:rsidR="005F14DE" w:rsidRDefault="005F14DE" w:rsidP="005F14DE">
      <w:pPr>
        <w:rPr>
          <w:rFonts w:cs="Times New Roman"/>
          <w:szCs w:val="24"/>
        </w:rPr>
      </w:pPr>
      <w:r>
        <w:rPr>
          <w:rFonts w:cs="Times New Roman"/>
          <w:szCs w:val="24"/>
        </w:rPr>
        <w:t xml:space="preserve">Tento manuál určený široké veřejnosti navazuje na závěry zmíněné Analýzy a přibližuje, jak s novou doporučující tabulkou pro určování výživného pracovat. Tabulka umožňuje učinit si rámcovou představu o odpovídající výši výživného. Tabulka </w:t>
      </w:r>
      <w:proofErr w:type="gramStart"/>
      <w:r>
        <w:rPr>
          <w:rFonts w:cs="Times New Roman"/>
          <w:szCs w:val="24"/>
        </w:rPr>
        <w:t>slouží</w:t>
      </w:r>
      <w:proofErr w:type="gramEnd"/>
      <w:r>
        <w:rPr>
          <w:rFonts w:cs="Times New Roman"/>
          <w:szCs w:val="24"/>
        </w:rPr>
        <w:t xml:space="preserve"> jen jako vodítko a neumožňuje zohledňovat všechny zvláštnosti jednotlivého případu. Tabulka však</w:t>
      </w:r>
      <w:r w:rsidRPr="00B35B7D">
        <w:rPr>
          <w:rFonts w:cs="Times New Roman"/>
          <w:szCs w:val="24"/>
        </w:rPr>
        <w:t xml:space="preserve"> </w:t>
      </w:r>
      <w:r>
        <w:rPr>
          <w:rFonts w:cs="Times New Roman"/>
          <w:szCs w:val="24"/>
        </w:rPr>
        <w:t xml:space="preserve">může </w:t>
      </w:r>
      <w:r w:rsidRPr="00B35B7D">
        <w:rPr>
          <w:rFonts w:cs="Times New Roman"/>
          <w:szCs w:val="24"/>
        </w:rPr>
        <w:t>ne</w:t>
      </w:r>
      <w:r>
        <w:rPr>
          <w:rFonts w:cs="Times New Roman"/>
          <w:szCs w:val="24"/>
        </w:rPr>
        <w:t>přímo napomoci </w:t>
      </w:r>
      <w:r w:rsidRPr="00B35B7D">
        <w:rPr>
          <w:rFonts w:cs="Times New Roman"/>
          <w:szCs w:val="24"/>
        </w:rPr>
        <w:t>konsensuální</w:t>
      </w:r>
      <w:r>
        <w:rPr>
          <w:rFonts w:cs="Times New Roman"/>
          <w:szCs w:val="24"/>
        </w:rPr>
        <w:t>mu</w:t>
      </w:r>
      <w:r w:rsidRPr="00B35B7D">
        <w:rPr>
          <w:rFonts w:cs="Times New Roman"/>
          <w:szCs w:val="24"/>
        </w:rPr>
        <w:t xml:space="preserve"> a pokud možno mimosoudní</w:t>
      </w:r>
      <w:r>
        <w:rPr>
          <w:rFonts w:cs="Times New Roman"/>
          <w:szCs w:val="24"/>
        </w:rPr>
        <w:t>mu</w:t>
      </w:r>
      <w:r w:rsidRPr="00B35B7D">
        <w:rPr>
          <w:rFonts w:cs="Times New Roman"/>
          <w:szCs w:val="24"/>
        </w:rPr>
        <w:t xml:space="preserve"> řešení záležitosti dítěte.</w:t>
      </w:r>
      <w:r>
        <w:rPr>
          <w:rFonts w:cs="Times New Roman"/>
          <w:szCs w:val="24"/>
        </w:rPr>
        <w:t xml:space="preserve"> Jsou to především rodiče, </w:t>
      </w:r>
      <w:r w:rsidRPr="001E0194">
        <w:rPr>
          <w:rFonts w:cs="Times New Roman"/>
          <w:szCs w:val="24"/>
        </w:rPr>
        <w:t>za účasti svého dítěte s</w:t>
      </w:r>
      <w:r>
        <w:rPr>
          <w:rFonts w:cs="Times New Roman"/>
          <w:szCs w:val="24"/>
        </w:rPr>
        <w:t xml:space="preserve"> přihlédnutím k jeho věku a rozumové a volní vyspělosti, kteří by se měli o výši výživného dohodnout. Rozhodování soudu o výživném by mělo přistupovat ke slovu až v krajním případě, pokud se rodiče nejsou schopni dohodnout. </w:t>
      </w:r>
    </w:p>
    <w:p w14:paraId="0C21D0F6" w14:textId="41C2376E" w:rsidR="005F14DE" w:rsidRDefault="005F14DE" w:rsidP="005F14DE">
      <w:pPr>
        <w:rPr>
          <w:rFonts w:cs="Times New Roman"/>
          <w:szCs w:val="24"/>
        </w:rPr>
      </w:pPr>
      <w:r>
        <w:rPr>
          <w:rFonts w:cs="Times New Roman"/>
          <w:szCs w:val="24"/>
        </w:rPr>
        <w:t>Manuál Ministerstvo spravedlnosti České republiky dokončilo v </w:t>
      </w:r>
      <w:r w:rsidR="000F4A10">
        <w:rPr>
          <w:rFonts w:cs="Times New Roman"/>
          <w:szCs w:val="24"/>
        </w:rPr>
        <w:t>srpnu</w:t>
      </w:r>
      <w:r>
        <w:rPr>
          <w:rFonts w:cs="Times New Roman"/>
          <w:szCs w:val="24"/>
        </w:rPr>
        <w:t xml:space="preserve"> 2022.</w:t>
      </w:r>
    </w:p>
    <w:p w14:paraId="085A2292" w14:textId="77777777" w:rsidR="005F14DE" w:rsidRDefault="005F14DE" w:rsidP="005F14DE">
      <w:pPr>
        <w:rPr>
          <w:rFonts w:cs="Times New Roman"/>
          <w:szCs w:val="24"/>
        </w:rPr>
      </w:pPr>
      <w:r>
        <w:rPr>
          <w:rFonts w:cs="Times New Roman"/>
          <w:szCs w:val="24"/>
        </w:rPr>
        <w:br w:type="page"/>
      </w:r>
    </w:p>
    <w:p w14:paraId="04ECED2C" w14:textId="77777777" w:rsidR="005F14DE" w:rsidRDefault="005F14DE" w:rsidP="005F14DE">
      <w:pPr>
        <w:pStyle w:val="Nadpis1"/>
      </w:pPr>
      <w:r>
        <w:lastRenderedPageBreak/>
        <w:t xml:space="preserve">Limity při </w:t>
      </w:r>
      <w:r w:rsidRPr="00156DC7">
        <w:t>využití tabulky</w:t>
      </w:r>
    </w:p>
    <w:p w14:paraId="105351F5" w14:textId="77777777" w:rsidR="005F14DE" w:rsidRDefault="005F14DE" w:rsidP="005F14DE">
      <w:pPr>
        <w:rPr>
          <w:rFonts w:cs="Times New Roman"/>
          <w:szCs w:val="24"/>
        </w:rPr>
      </w:pPr>
      <w:r>
        <w:rPr>
          <w:rFonts w:cs="Times New Roman"/>
          <w:szCs w:val="24"/>
        </w:rPr>
        <w:t>V tomto Manuálu</w:t>
      </w:r>
      <w:r w:rsidRPr="00AB392D">
        <w:rPr>
          <w:rFonts w:cs="Times New Roman"/>
          <w:szCs w:val="24"/>
        </w:rPr>
        <w:t xml:space="preserve"> nejsou </w:t>
      </w:r>
      <w:r>
        <w:rPr>
          <w:rFonts w:cs="Times New Roman"/>
          <w:szCs w:val="24"/>
        </w:rPr>
        <w:t>shrnuta a rozebírána pravidla pro </w:t>
      </w:r>
      <w:r w:rsidRPr="00AB392D">
        <w:rPr>
          <w:rFonts w:cs="Times New Roman"/>
          <w:szCs w:val="24"/>
        </w:rPr>
        <w:t>určování výše výživného</w:t>
      </w:r>
      <w:r w:rsidRPr="00003389">
        <w:rPr>
          <w:rFonts w:cs="Times New Roman"/>
          <w:szCs w:val="24"/>
        </w:rPr>
        <w:t xml:space="preserve"> </w:t>
      </w:r>
      <w:r>
        <w:rPr>
          <w:rFonts w:cs="Times New Roman"/>
          <w:szCs w:val="24"/>
        </w:rPr>
        <w:t>stanovená zákonem. Podrobnostem zákonné úpravy</w:t>
      </w:r>
      <w:r>
        <w:rPr>
          <w:rStyle w:val="Znakapoznpodarou"/>
          <w:rFonts w:cs="Times New Roman"/>
          <w:szCs w:val="24"/>
        </w:rPr>
        <w:footnoteReference w:id="2"/>
      </w:r>
      <w:r>
        <w:rPr>
          <w:rFonts w:cs="Times New Roman"/>
          <w:szCs w:val="24"/>
        </w:rPr>
        <w:t xml:space="preserve"> a jejímu výkladu v rozhodovací praxi soudů se věnují další materiály Ministerstva spravedlnosti</w:t>
      </w:r>
      <w:r>
        <w:rPr>
          <w:rStyle w:val="Znakapoznpodarou"/>
          <w:rFonts w:cs="Times New Roman"/>
          <w:szCs w:val="24"/>
        </w:rPr>
        <w:footnoteReference w:id="3"/>
      </w:r>
      <w:r>
        <w:rPr>
          <w:rFonts w:cs="Times New Roman"/>
          <w:szCs w:val="24"/>
        </w:rPr>
        <w:t>. Je však třeba zmínit základní pravidlo, podle kterého má v případě dětí být jejich životní úroveň zásadně shodná s životní úrovní rodičů. Toto hledisko předchází hledisku odůvodněných potřeb dítěte.</w:t>
      </w:r>
      <w:r>
        <w:rPr>
          <w:rStyle w:val="Znakapoznpodarou"/>
          <w:rFonts w:cs="Times New Roman"/>
          <w:szCs w:val="24"/>
        </w:rPr>
        <w:footnoteReference w:id="4"/>
      </w:r>
    </w:p>
    <w:p w14:paraId="677BD47B" w14:textId="77777777" w:rsidR="005F14DE" w:rsidRDefault="005F14DE" w:rsidP="005F14DE">
      <w:pPr>
        <w:rPr>
          <w:rFonts w:cs="Times New Roman"/>
          <w:szCs w:val="24"/>
        </w:rPr>
      </w:pPr>
      <w:r>
        <w:rPr>
          <w:rFonts w:cs="Times New Roman"/>
          <w:szCs w:val="24"/>
        </w:rPr>
        <w:t xml:space="preserve">Při práci s doporučující tabulkou je třeba vnímat její meze: </w:t>
      </w:r>
    </w:p>
    <w:p w14:paraId="14936088" w14:textId="3A6EBB35" w:rsidR="005F14DE"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Tabulk</w:t>
      </w:r>
      <w:r>
        <w:rPr>
          <w:rFonts w:cs="Times New Roman"/>
          <w:szCs w:val="24"/>
        </w:rPr>
        <w:t>a nezohledňuje</w:t>
      </w:r>
      <w:r w:rsidRPr="00003389">
        <w:rPr>
          <w:rFonts w:cs="Times New Roman"/>
          <w:szCs w:val="24"/>
        </w:rPr>
        <w:t xml:space="preserve"> některé okolnosti, které mohou být v konkrétním případě pro určení výše výživného významné.</w:t>
      </w:r>
      <w:r w:rsidR="00BE2E74">
        <w:rPr>
          <w:rFonts w:cs="Times New Roman"/>
          <w:szCs w:val="24"/>
        </w:rPr>
        <w:t xml:space="preserve"> Zohledňovány nejsou například majetkové poměry </w:t>
      </w:r>
      <w:r w:rsidR="00A84E23">
        <w:rPr>
          <w:rFonts w:cs="Times New Roman"/>
          <w:szCs w:val="24"/>
        </w:rPr>
        <w:t>rodiče dítěte</w:t>
      </w:r>
      <w:r w:rsidR="00BE2E74">
        <w:rPr>
          <w:rFonts w:cs="Times New Roman"/>
          <w:szCs w:val="24"/>
        </w:rPr>
        <w:t xml:space="preserve">. Dále nejsou zohledňovány také další okolnosti, které mohou mít v konkrétním případě vliv na životní úroveň </w:t>
      </w:r>
      <w:r w:rsidR="00A84E23">
        <w:rPr>
          <w:rFonts w:cs="Times New Roman"/>
          <w:szCs w:val="24"/>
        </w:rPr>
        <w:t>rodiče a dítěte, jako je kupříkladu podíl nového partnera (manžela) rodiče na uspokojování potřeb rodiny.</w:t>
      </w:r>
      <w:r w:rsidR="00945447">
        <w:rPr>
          <w:rStyle w:val="Znakapoznpodarou"/>
          <w:rFonts w:cs="Times New Roman"/>
          <w:szCs w:val="24"/>
        </w:rPr>
        <w:footnoteReference w:id="5"/>
      </w:r>
      <w:r w:rsidR="00A84E23">
        <w:rPr>
          <w:rFonts w:cs="Times New Roman"/>
          <w:szCs w:val="24"/>
        </w:rPr>
        <w:t xml:space="preserve"> </w:t>
      </w:r>
      <w:r w:rsidR="00945447">
        <w:rPr>
          <w:rFonts w:cs="Times New Roman"/>
          <w:szCs w:val="24"/>
        </w:rPr>
        <w:t xml:space="preserve">Odhlíženo je také od dalších skutečností, které mohou mít vliv na strukturu výdajů jednotlivých domácností a jejich životní úroveň (např. právní důvod bydlení, náklady na dopravu, energie atd.). </w:t>
      </w:r>
      <w:r w:rsidR="00DC4059">
        <w:t>Tyto skutečnosti bude třeba případně vyhodnotit individuálně, nedohodnou-li rodiče o výživném, měl by k nim přihlédnout také soud.</w:t>
      </w:r>
    </w:p>
    <w:p w14:paraId="74EAFFD2" w14:textId="77777777" w:rsidR="005F14DE" w:rsidRPr="00003389"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Tabulka je určena pro standardní případy. Není využitelná například pro děti, které mají z</w:t>
      </w:r>
      <w:r>
        <w:rPr>
          <w:rFonts w:cs="Times New Roman"/>
          <w:szCs w:val="24"/>
        </w:rPr>
        <w:t> </w:t>
      </w:r>
      <w:r w:rsidRPr="00003389">
        <w:rPr>
          <w:rFonts w:cs="Times New Roman"/>
          <w:szCs w:val="24"/>
        </w:rPr>
        <w:t>vážných zdravotních důvodů vysoké odůvodněné potřeby.</w:t>
      </w:r>
    </w:p>
    <w:p w14:paraId="766500E4" w14:textId="77777777" w:rsidR="005F14DE" w:rsidRPr="00003389"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Tabulk</w:t>
      </w:r>
      <w:r>
        <w:rPr>
          <w:rFonts w:cs="Times New Roman"/>
          <w:szCs w:val="24"/>
        </w:rPr>
        <w:t>a</w:t>
      </w:r>
      <w:r w:rsidRPr="00003389">
        <w:rPr>
          <w:rFonts w:cs="Times New Roman"/>
          <w:szCs w:val="24"/>
        </w:rPr>
        <w:t xml:space="preserve"> j</w:t>
      </w:r>
      <w:r>
        <w:rPr>
          <w:rFonts w:cs="Times New Roman"/>
          <w:szCs w:val="24"/>
        </w:rPr>
        <w:t>e</w:t>
      </w:r>
      <w:r w:rsidRPr="00003389">
        <w:rPr>
          <w:rFonts w:cs="Times New Roman"/>
          <w:szCs w:val="24"/>
        </w:rPr>
        <w:t xml:space="preserve"> nastaven</w:t>
      </w:r>
      <w:r>
        <w:rPr>
          <w:rFonts w:cs="Times New Roman"/>
          <w:szCs w:val="24"/>
        </w:rPr>
        <w:t>a</w:t>
      </w:r>
      <w:r w:rsidRPr="00003389">
        <w:rPr>
          <w:rFonts w:cs="Times New Roman"/>
          <w:szCs w:val="24"/>
        </w:rPr>
        <w:t xml:space="preserve"> k orientačnímu určení výše výživného z jednoduše zjistitelné výše reálně dosahovaného příjmu osoby výživou povinné. </w:t>
      </w:r>
      <w:r>
        <w:rPr>
          <w:rFonts w:cs="Times New Roman"/>
          <w:szCs w:val="24"/>
        </w:rPr>
        <w:t>Z</w:t>
      </w:r>
      <w:r w:rsidRPr="00003389">
        <w:rPr>
          <w:rFonts w:cs="Times New Roman"/>
          <w:szCs w:val="24"/>
        </w:rPr>
        <w:t xml:space="preserve">ákonná úprava </w:t>
      </w:r>
      <w:r>
        <w:rPr>
          <w:rFonts w:cs="Times New Roman"/>
          <w:szCs w:val="24"/>
        </w:rPr>
        <w:t xml:space="preserve">však </w:t>
      </w:r>
      <w:r w:rsidRPr="00003389">
        <w:rPr>
          <w:rFonts w:cs="Times New Roman"/>
          <w:szCs w:val="24"/>
        </w:rPr>
        <w:t xml:space="preserve">umožňuje určit výši </w:t>
      </w:r>
      <w:r>
        <w:rPr>
          <w:rFonts w:cs="Times New Roman"/>
          <w:szCs w:val="24"/>
        </w:rPr>
        <w:t xml:space="preserve">výživného </w:t>
      </w:r>
      <w:r w:rsidRPr="00003389">
        <w:rPr>
          <w:rFonts w:cs="Times New Roman"/>
          <w:szCs w:val="24"/>
        </w:rPr>
        <w:t xml:space="preserve">i z potenciálního příjmu. To může být namístě zejména v případech, kdy se povinný </w:t>
      </w:r>
      <w:r>
        <w:rPr>
          <w:rFonts w:cs="Times New Roman"/>
          <w:szCs w:val="24"/>
        </w:rPr>
        <w:t xml:space="preserve">rodič </w:t>
      </w:r>
      <w:r w:rsidRPr="00003389">
        <w:rPr>
          <w:rFonts w:cs="Times New Roman"/>
          <w:szCs w:val="24"/>
        </w:rPr>
        <w:t>bez důležitého důvodu vzdal výhodnějšího zaměstnání</w:t>
      </w:r>
      <w:r>
        <w:rPr>
          <w:rStyle w:val="Znakapoznpodarou"/>
          <w:rFonts w:cs="Times New Roman"/>
          <w:szCs w:val="24"/>
        </w:rPr>
        <w:footnoteReference w:id="6"/>
      </w:r>
      <w:r w:rsidRPr="00003389">
        <w:rPr>
          <w:rFonts w:cs="Times New Roman"/>
          <w:szCs w:val="24"/>
        </w:rPr>
        <w:t>, ale i v případech, kdy je povinný nezaměstnaný</w:t>
      </w:r>
      <w:r>
        <w:rPr>
          <w:rFonts w:cs="Times New Roman"/>
          <w:szCs w:val="24"/>
        </w:rPr>
        <w:t xml:space="preserve"> a</w:t>
      </w:r>
      <w:r w:rsidRPr="00003389">
        <w:rPr>
          <w:rFonts w:cs="Times New Roman"/>
          <w:szCs w:val="24"/>
        </w:rPr>
        <w:t xml:space="preserve"> má reálnou možnost si práci najít s přihlédnutím ke své kvalifikaci, zkušenostem a situaci na trhu práce. Určit výši potenciálního příjmu vyžaduje úvahu, a proto s těmito případy </w:t>
      </w:r>
      <w:r>
        <w:rPr>
          <w:rFonts w:cs="Times New Roman"/>
          <w:szCs w:val="24"/>
        </w:rPr>
        <w:t>M</w:t>
      </w:r>
      <w:r w:rsidRPr="00003389">
        <w:rPr>
          <w:rFonts w:cs="Times New Roman"/>
          <w:szCs w:val="24"/>
        </w:rPr>
        <w:t xml:space="preserve">anuál podrobněji nepracuje. </w:t>
      </w:r>
      <w:r>
        <w:rPr>
          <w:rFonts w:cs="Times New Roman"/>
          <w:szCs w:val="24"/>
        </w:rPr>
        <w:t>T</w:t>
      </w:r>
      <w:r w:rsidRPr="00003389">
        <w:rPr>
          <w:rFonts w:cs="Times New Roman"/>
          <w:szCs w:val="24"/>
        </w:rPr>
        <w:t xml:space="preserve">abulku </w:t>
      </w:r>
      <w:r>
        <w:rPr>
          <w:rFonts w:cs="Times New Roman"/>
          <w:szCs w:val="24"/>
        </w:rPr>
        <w:t xml:space="preserve">však lze </w:t>
      </w:r>
      <w:r w:rsidRPr="00003389">
        <w:rPr>
          <w:rFonts w:cs="Times New Roman"/>
          <w:szCs w:val="24"/>
        </w:rPr>
        <w:t xml:space="preserve">přiměřeně použít </w:t>
      </w:r>
      <w:r>
        <w:rPr>
          <w:rFonts w:cs="Times New Roman"/>
          <w:szCs w:val="24"/>
        </w:rPr>
        <w:t xml:space="preserve">i </w:t>
      </w:r>
      <w:r w:rsidRPr="00003389">
        <w:rPr>
          <w:rFonts w:cs="Times New Roman"/>
          <w:szCs w:val="24"/>
        </w:rPr>
        <w:t xml:space="preserve">v případech, kdy </w:t>
      </w:r>
      <w:r>
        <w:rPr>
          <w:rFonts w:cs="Times New Roman"/>
          <w:szCs w:val="24"/>
        </w:rPr>
        <w:t>je možné</w:t>
      </w:r>
      <w:r w:rsidRPr="00003389">
        <w:rPr>
          <w:rFonts w:cs="Times New Roman"/>
          <w:szCs w:val="24"/>
        </w:rPr>
        <w:t xml:space="preserve"> potenciální příjem povinného rámcově vyčíslit.</w:t>
      </w:r>
    </w:p>
    <w:p w14:paraId="1BE0105C" w14:textId="77777777" w:rsidR="005F14DE" w:rsidRPr="00003389"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lastRenderedPageBreak/>
        <w:t>Tabulka nemusí být bez dalšího využitelná v případě rodičů s</w:t>
      </w:r>
      <w:r>
        <w:rPr>
          <w:rFonts w:cs="Times New Roman"/>
          <w:szCs w:val="24"/>
        </w:rPr>
        <w:t> </w:t>
      </w:r>
      <w:r w:rsidRPr="00003389">
        <w:rPr>
          <w:rFonts w:cs="Times New Roman"/>
          <w:szCs w:val="24"/>
        </w:rPr>
        <w:t xml:space="preserve">nadstandardními příjmy. </w:t>
      </w:r>
      <w:r>
        <w:rPr>
          <w:rFonts w:cs="Times New Roman"/>
          <w:szCs w:val="24"/>
        </w:rPr>
        <w:t>N</w:t>
      </w:r>
      <w:r w:rsidRPr="00003389">
        <w:rPr>
          <w:rFonts w:cs="Times New Roman"/>
          <w:szCs w:val="24"/>
        </w:rPr>
        <w:t>adstandardní příjem rodiče sice může odůvodňovat i nadstandardně vysoké výživné, avšak mezi výší příjmu a výší výživného nemusí být vztah prosté přímé úměry.</w:t>
      </w:r>
      <w:r>
        <w:rPr>
          <w:rStyle w:val="Znakapoznpodarou"/>
          <w:rFonts w:cs="Times New Roman"/>
          <w:szCs w:val="24"/>
        </w:rPr>
        <w:footnoteReference w:id="7"/>
      </w:r>
    </w:p>
    <w:p w14:paraId="7DE051B1" w14:textId="20B02E5B" w:rsidR="005F14DE" w:rsidRPr="00003389"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Tabulka je určena pro</w:t>
      </w:r>
      <w:r>
        <w:rPr>
          <w:rFonts w:cs="Times New Roman"/>
          <w:szCs w:val="24"/>
        </w:rPr>
        <w:t> případy</w:t>
      </w:r>
      <w:r w:rsidRPr="00003389">
        <w:rPr>
          <w:rFonts w:cs="Times New Roman"/>
          <w:szCs w:val="24"/>
        </w:rPr>
        <w:t xml:space="preserve">, kdy má povinný rodič vůči svým dětem maximálně </w:t>
      </w:r>
      <w:r>
        <w:rPr>
          <w:rFonts w:cs="Times New Roman"/>
          <w:szCs w:val="24"/>
        </w:rPr>
        <w:t>4</w:t>
      </w:r>
      <w:r w:rsidRPr="00003389">
        <w:rPr>
          <w:rFonts w:cs="Times New Roman"/>
          <w:szCs w:val="24"/>
        </w:rPr>
        <w:t xml:space="preserve"> vyživovací povinnosti.</w:t>
      </w:r>
      <w:r w:rsidR="00BD6B9C">
        <w:rPr>
          <w:rFonts w:cs="Times New Roman"/>
          <w:szCs w:val="24"/>
        </w:rPr>
        <w:t xml:space="preserve"> Zároveň tabulka nezohledňuje existenci vyživovacích povinností, které může mít rodič v různé míře vůči jiným osobám než svým dětem (např. vůči svému manželovi, registrovanému partnerovi, </w:t>
      </w:r>
      <w:r w:rsidR="002D13A6">
        <w:rPr>
          <w:rFonts w:cs="Times New Roman"/>
          <w:szCs w:val="24"/>
        </w:rPr>
        <w:t>rodiči).</w:t>
      </w:r>
      <w:r w:rsidR="002D13A6" w:rsidRPr="002D13A6">
        <w:rPr>
          <w:rFonts w:cs="Times New Roman"/>
          <w:szCs w:val="24"/>
        </w:rPr>
        <w:t xml:space="preserve"> </w:t>
      </w:r>
      <w:r w:rsidR="00DC4059">
        <w:t>Tyto skutečnosti bude třeba případně vyhodnotit individuálně, nedohodnou-li rodiče o výživném, měl by k nim přihlédnout také soud.</w:t>
      </w:r>
    </w:p>
    <w:p w14:paraId="21AADCF4" w14:textId="77777777" w:rsidR="005F14DE" w:rsidRPr="00003389"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 xml:space="preserve">Obezřetně je třeba s tabulkou pracovat také v případě zletilých dětí (a obecně u dětí studujících a připravujících se na své budoucí povolání mimo své bydliště). Jednotlivé případy těchto dětí se mohou i podstatně lišit v závislosti na tom, zda studují v místě svého bydliště, či nikoli, zda jim studium umožňuje výkon doplňkové výdělečné činnosti atd. Orientačně lze i v případech těchto dětí vycházet ze </w:t>
      </w:r>
      <w:r>
        <w:rPr>
          <w:rFonts w:cs="Times New Roman"/>
          <w:szCs w:val="24"/>
        </w:rPr>
        <w:t>4.</w:t>
      </w:r>
      <w:r w:rsidRPr="00003389">
        <w:rPr>
          <w:rFonts w:cs="Times New Roman"/>
          <w:szCs w:val="24"/>
        </w:rPr>
        <w:t xml:space="preserve"> věkové kategorie v rámci tabulky. Není však vyloučeno, že </w:t>
      </w:r>
      <w:r>
        <w:rPr>
          <w:rFonts w:cs="Times New Roman"/>
          <w:szCs w:val="24"/>
        </w:rPr>
        <w:t>indikované</w:t>
      </w:r>
      <w:r w:rsidRPr="00003389">
        <w:rPr>
          <w:rFonts w:cs="Times New Roman"/>
          <w:szCs w:val="24"/>
        </w:rPr>
        <w:t xml:space="preserve"> hodnoty bude třeba mnohdy i dosti podstatně korigovat. Jako plně využitelná se i v těchto případech naopak jeví orientační kontrolní částka, která by měla povinnému po odečtení výživného zpravidla zůstat.</w:t>
      </w:r>
    </w:p>
    <w:p w14:paraId="32EB349D" w14:textId="6A2390B8" w:rsidR="005F14DE"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To, že je určeno výživné v určit</w:t>
      </w:r>
      <w:r>
        <w:rPr>
          <w:rFonts w:cs="Times New Roman"/>
          <w:szCs w:val="24"/>
        </w:rPr>
        <w:t>é výši (ať již s využitím tabul</w:t>
      </w:r>
      <w:r w:rsidRPr="00003389">
        <w:rPr>
          <w:rFonts w:cs="Times New Roman"/>
          <w:szCs w:val="24"/>
        </w:rPr>
        <w:t>k</w:t>
      </w:r>
      <w:r>
        <w:rPr>
          <w:rFonts w:cs="Times New Roman"/>
          <w:szCs w:val="24"/>
        </w:rPr>
        <w:t>y</w:t>
      </w:r>
      <w:r w:rsidRPr="00003389">
        <w:rPr>
          <w:rFonts w:cs="Times New Roman"/>
          <w:szCs w:val="24"/>
        </w:rPr>
        <w:t xml:space="preserve"> či s ohledem na další okolnosti), automaticky neznamená, že se takto určená částka musí také vždy realizovat jen ve formě poskytování peněžních prostředků. Rodiče se mohou mimosoudně dohodnout, že se vyživovací povinnost, jejíž přibližnou hod</w:t>
      </w:r>
      <w:r>
        <w:rPr>
          <w:rFonts w:cs="Times New Roman"/>
          <w:szCs w:val="24"/>
        </w:rPr>
        <w:t>notu lze určit s využitím tabul</w:t>
      </w:r>
      <w:r w:rsidRPr="00003389">
        <w:rPr>
          <w:rFonts w:cs="Times New Roman"/>
          <w:szCs w:val="24"/>
        </w:rPr>
        <w:t>k</w:t>
      </w:r>
      <w:r>
        <w:rPr>
          <w:rFonts w:cs="Times New Roman"/>
          <w:szCs w:val="24"/>
        </w:rPr>
        <w:t>y</w:t>
      </w:r>
      <w:r w:rsidRPr="00003389">
        <w:rPr>
          <w:rFonts w:cs="Times New Roman"/>
          <w:szCs w:val="24"/>
        </w:rPr>
        <w:t xml:space="preserve">, bude plnit zčásti či zcela formou přímého nákupu určitého zboží či služeb. Taková dohoda je </w:t>
      </w:r>
      <w:r>
        <w:rPr>
          <w:rFonts w:cs="Times New Roman"/>
          <w:szCs w:val="24"/>
        </w:rPr>
        <w:t>i</w:t>
      </w:r>
      <w:r w:rsidRPr="00003389">
        <w:rPr>
          <w:rFonts w:cs="Times New Roman"/>
          <w:szCs w:val="24"/>
        </w:rPr>
        <w:t xml:space="preserve"> žádoucí, neboť umožňuje zapojení povinného rodiče do zajišťování potřeb dítěte, může zvyšovat důvěru</w:t>
      </w:r>
      <w:r>
        <w:rPr>
          <w:rFonts w:cs="Times New Roman"/>
          <w:szCs w:val="24"/>
        </w:rPr>
        <w:t xml:space="preserve"> mezi rodiči a pozitivně působí</w:t>
      </w:r>
      <w:r w:rsidRPr="00003389">
        <w:rPr>
          <w:rFonts w:cs="Times New Roman"/>
          <w:szCs w:val="24"/>
        </w:rPr>
        <w:t xml:space="preserve"> na plnění vyživovací povinnosti.</w:t>
      </w:r>
      <w:r w:rsidR="00CC67CA" w:rsidRPr="00CC67CA">
        <w:rPr>
          <w:rFonts w:cs="Times New Roman"/>
          <w:szCs w:val="24"/>
        </w:rPr>
        <w:t xml:space="preserve"> </w:t>
      </w:r>
      <w:r w:rsidR="00CC67CA">
        <w:rPr>
          <w:rFonts w:cs="Times New Roman"/>
          <w:szCs w:val="24"/>
        </w:rPr>
        <w:t xml:space="preserve">Pokud je zvolena cesta, že by si rodiče měli zasílat určité peněžní prostředky (zejména v rámci střídavé péče a </w:t>
      </w:r>
      <w:r w:rsidR="00DE4898">
        <w:rPr>
          <w:rFonts w:cs="Times New Roman"/>
          <w:szCs w:val="24"/>
        </w:rPr>
        <w:t xml:space="preserve">výlučné péče jednoho z rodičů s </w:t>
      </w:r>
      <w:r w:rsidR="00CC67CA">
        <w:rPr>
          <w:rFonts w:cs="Times New Roman"/>
          <w:szCs w:val="24"/>
        </w:rPr>
        <w:t>rozšířen</w:t>
      </w:r>
      <w:r w:rsidR="00DE4898">
        <w:rPr>
          <w:rFonts w:cs="Times New Roman"/>
          <w:szCs w:val="24"/>
        </w:rPr>
        <w:t>ým</w:t>
      </w:r>
      <w:r w:rsidR="00CC67CA">
        <w:rPr>
          <w:rFonts w:cs="Times New Roman"/>
          <w:szCs w:val="24"/>
        </w:rPr>
        <w:t xml:space="preserve"> styk</w:t>
      </w:r>
      <w:r w:rsidR="00DE4898">
        <w:rPr>
          <w:rFonts w:cs="Times New Roman"/>
          <w:szCs w:val="24"/>
        </w:rPr>
        <w:t>em druhého z rodičů</w:t>
      </w:r>
      <w:r w:rsidR="00CC67CA">
        <w:rPr>
          <w:rFonts w:cs="Times New Roman"/>
          <w:szCs w:val="24"/>
        </w:rPr>
        <w:t>), lze v rámci mimosoudní dohody zvážit</w:t>
      </w:r>
      <w:r w:rsidR="00DE4898">
        <w:rPr>
          <w:rFonts w:cs="Times New Roman"/>
          <w:szCs w:val="24"/>
        </w:rPr>
        <w:t xml:space="preserve"> s přihlédnutím k okolnostem</w:t>
      </w:r>
      <w:r w:rsidR="00CC67CA">
        <w:rPr>
          <w:rFonts w:cs="Times New Roman"/>
          <w:szCs w:val="24"/>
        </w:rPr>
        <w:t xml:space="preserve"> určité zjednodušení</w:t>
      </w:r>
      <w:r w:rsidR="00DE4898">
        <w:rPr>
          <w:rFonts w:cs="Times New Roman"/>
          <w:szCs w:val="24"/>
        </w:rPr>
        <w:t>.</w:t>
      </w:r>
      <w:r w:rsidR="00CC67CA">
        <w:rPr>
          <w:rFonts w:cs="Times New Roman"/>
          <w:szCs w:val="24"/>
        </w:rPr>
        <w:t xml:space="preserve"> </w:t>
      </w:r>
      <w:r w:rsidR="00DE4898">
        <w:rPr>
          <w:rFonts w:cs="Times New Roman"/>
          <w:szCs w:val="24"/>
        </w:rPr>
        <w:t>P</w:t>
      </w:r>
      <w:r w:rsidR="00CC67CA">
        <w:rPr>
          <w:rFonts w:cs="Times New Roman"/>
          <w:szCs w:val="24"/>
        </w:rPr>
        <w:t>odle ně</w:t>
      </w:r>
      <w:r w:rsidR="00DE4898">
        <w:rPr>
          <w:rFonts w:cs="Times New Roman"/>
          <w:szCs w:val="24"/>
        </w:rPr>
        <w:t>j</w:t>
      </w:r>
      <w:r w:rsidR="00CC67CA">
        <w:rPr>
          <w:rFonts w:cs="Times New Roman"/>
          <w:szCs w:val="24"/>
        </w:rPr>
        <w:t xml:space="preserve"> by mohl být</w:t>
      </w:r>
      <w:r w:rsidR="00D65098">
        <w:rPr>
          <w:rFonts w:cs="Times New Roman"/>
          <w:szCs w:val="24"/>
        </w:rPr>
        <w:t xml:space="preserve"> fakticky </w:t>
      </w:r>
      <w:r w:rsidR="00CC67CA">
        <w:rPr>
          <w:rFonts w:cs="Times New Roman"/>
          <w:szCs w:val="24"/>
        </w:rPr>
        <w:t>zasílán pouze rozdíl mezi částkami výživného vyčíslen</w:t>
      </w:r>
      <w:r w:rsidR="00305D46">
        <w:rPr>
          <w:rFonts w:cs="Times New Roman"/>
          <w:szCs w:val="24"/>
        </w:rPr>
        <w:t>ými</w:t>
      </w:r>
      <w:r w:rsidR="00CC67CA">
        <w:rPr>
          <w:rFonts w:cs="Times New Roman"/>
          <w:szCs w:val="24"/>
        </w:rPr>
        <w:t xml:space="preserve"> pro jednotlivé rodiče, a nemuselo</w:t>
      </w:r>
      <w:r w:rsidR="00D65098">
        <w:rPr>
          <w:rFonts w:cs="Times New Roman"/>
          <w:szCs w:val="24"/>
        </w:rPr>
        <w:t xml:space="preserve"> tak</w:t>
      </w:r>
      <w:r w:rsidR="00CC67CA">
        <w:rPr>
          <w:rFonts w:cs="Times New Roman"/>
          <w:szCs w:val="24"/>
        </w:rPr>
        <w:t xml:space="preserve"> docházet k permanentnímu přesunu totožných částek.</w:t>
      </w:r>
      <w:r w:rsidR="00CC67CA">
        <w:rPr>
          <w:rStyle w:val="Znakapoznpodarou"/>
          <w:rFonts w:cs="Times New Roman"/>
          <w:szCs w:val="24"/>
        </w:rPr>
        <w:footnoteReference w:id="8"/>
      </w:r>
    </w:p>
    <w:p w14:paraId="044E38D1" w14:textId="77777777" w:rsidR="005F14DE" w:rsidRPr="0035205C"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 xml:space="preserve">Tabulka nemusí být bez dalšího využitelná </w:t>
      </w:r>
      <w:r>
        <w:rPr>
          <w:rFonts w:cs="Times New Roman"/>
          <w:szCs w:val="24"/>
        </w:rPr>
        <w:t>v</w:t>
      </w:r>
      <w:r w:rsidRPr="0035205C">
        <w:rPr>
          <w:rFonts w:cs="Times New Roman"/>
          <w:szCs w:val="24"/>
        </w:rPr>
        <w:t> případech, kdy již u některého z dětí rodiče bylo výživné určeno soudem</w:t>
      </w:r>
      <w:r>
        <w:rPr>
          <w:rFonts w:cs="Times New Roman"/>
          <w:szCs w:val="24"/>
        </w:rPr>
        <w:t>. Tabulka může být nicméně vzata v potaz při případné pozdější dohodě rodičů o změně výživného.</w:t>
      </w:r>
    </w:p>
    <w:p w14:paraId="47E64BDE" w14:textId="50F91B80" w:rsidR="005F14DE" w:rsidRDefault="005F14DE" w:rsidP="005F14DE">
      <w:pPr>
        <w:pStyle w:val="Odstavecseseznamem"/>
        <w:numPr>
          <w:ilvl w:val="0"/>
          <w:numId w:val="2"/>
        </w:numPr>
        <w:ind w:left="357" w:hanging="357"/>
        <w:contextualSpacing w:val="0"/>
        <w:rPr>
          <w:rFonts w:cs="Times New Roman"/>
          <w:szCs w:val="24"/>
        </w:rPr>
      </w:pPr>
      <w:r w:rsidRPr="00003389">
        <w:rPr>
          <w:rFonts w:cs="Times New Roman"/>
          <w:szCs w:val="24"/>
        </w:rPr>
        <w:t>Ačkoli tabulka pracuje s</w:t>
      </w:r>
      <w:r>
        <w:rPr>
          <w:rFonts w:cs="Times New Roman"/>
          <w:szCs w:val="24"/>
        </w:rPr>
        <w:t> </w:t>
      </w:r>
      <w:r w:rsidRPr="00003389">
        <w:rPr>
          <w:rFonts w:cs="Times New Roman"/>
          <w:szCs w:val="24"/>
        </w:rPr>
        <w:t xml:space="preserve">rozčleněním do životních etap dítěte, mělo by být respektováno, že potřeby dítěte s věkem obecně </w:t>
      </w:r>
      <w:r>
        <w:rPr>
          <w:rFonts w:cs="Times New Roman"/>
          <w:szCs w:val="24"/>
        </w:rPr>
        <w:t>neustále</w:t>
      </w:r>
      <w:r w:rsidRPr="00003389">
        <w:rPr>
          <w:rFonts w:cs="Times New Roman"/>
          <w:szCs w:val="24"/>
        </w:rPr>
        <w:t xml:space="preserve"> rostou.</w:t>
      </w:r>
      <w:r>
        <w:rPr>
          <w:rFonts w:cs="Times New Roman"/>
          <w:szCs w:val="24"/>
        </w:rPr>
        <w:t xml:space="preserve"> </w:t>
      </w:r>
      <w:r w:rsidRPr="00003389">
        <w:rPr>
          <w:rFonts w:cs="Times New Roman"/>
          <w:szCs w:val="24"/>
        </w:rPr>
        <w:t xml:space="preserve">Proto lze doporučit, aby i při řešení výživného v rámci jedné věkové etapy docházelo k navýšení výživného po </w:t>
      </w:r>
      <w:r>
        <w:rPr>
          <w:rFonts w:cs="Times New Roman"/>
          <w:szCs w:val="24"/>
        </w:rPr>
        <w:t>3</w:t>
      </w:r>
      <w:r w:rsidRPr="00003389">
        <w:rPr>
          <w:rFonts w:cs="Times New Roman"/>
          <w:szCs w:val="24"/>
        </w:rPr>
        <w:t xml:space="preserve"> letech </w:t>
      </w:r>
      <w:r w:rsidRPr="00003389">
        <w:rPr>
          <w:rFonts w:cs="Times New Roman"/>
          <w:szCs w:val="24"/>
        </w:rPr>
        <w:lastRenderedPageBreak/>
        <w:t xml:space="preserve">od předchozího určení, a to </w:t>
      </w:r>
      <w:r>
        <w:rPr>
          <w:rFonts w:cs="Times New Roman"/>
          <w:szCs w:val="24"/>
        </w:rPr>
        <w:t>navýšením podílu výživného na příjmu povinného</w:t>
      </w:r>
      <w:r w:rsidRPr="00003389">
        <w:rPr>
          <w:rFonts w:cs="Times New Roman"/>
          <w:szCs w:val="24"/>
        </w:rPr>
        <w:t xml:space="preserve"> </w:t>
      </w:r>
      <w:r>
        <w:rPr>
          <w:rFonts w:cs="Times New Roman"/>
          <w:szCs w:val="24"/>
        </w:rPr>
        <w:t>o 1 %</w:t>
      </w:r>
      <w:r w:rsidRPr="00003389">
        <w:rPr>
          <w:rFonts w:cs="Times New Roman"/>
          <w:szCs w:val="24"/>
        </w:rPr>
        <w:t xml:space="preserve">. </w:t>
      </w:r>
      <w:r w:rsidR="002D13A6">
        <w:rPr>
          <w:rFonts w:cs="Times New Roman"/>
          <w:szCs w:val="24"/>
        </w:rPr>
        <w:t xml:space="preserve">Tím by měla být zajištěna </w:t>
      </w:r>
      <w:r w:rsidR="00622BC7">
        <w:rPr>
          <w:rFonts w:cs="Times New Roman"/>
          <w:szCs w:val="24"/>
        </w:rPr>
        <w:t>také pravidelná valorizace výše výživného.</w:t>
      </w:r>
    </w:p>
    <w:p w14:paraId="5632E6C9" w14:textId="77777777" w:rsidR="000D52E2" w:rsidRDefault="000D52E2" w:rsidP="005F14DE">
      <w:pPr>
        <w:pStyle w:val="Nadpis1"/>
      </w:pPr>
    </w:p>
    <w:p w14:paraId="65787525" w14:textId="77777777" w:rsidR="000D52E2" w:rsidRDefault="000D52E2">
      <w:pPr>
        <w:jc w:val="left"/>
        <w:rPr>
          <w:rFonts w:eastAsiaTheme="majorEastAsia" w:cstheme="majorBidi"/>
          <w:b/>
          <w:szCs w:val="32"/>
        </w:rPr>
      </w:pPr>
      <w:r>
        <w:br w:type="page"/>
      </w:r>
    </w:p>
    <w:p w14:paraId="43252354" w14:textId="62E77B77" w:rsidR="005F14DE" w:rsidRPr="00CC5713" w:rsidRDefault="005F14DE" w:rsidP="005F14DE">
      <w:pPr>
        <w:pStyle w:val="Nadpis1"/>
      </w:pPr>
      <w:r>
        <w:lastRenderedPageBreak/>
        <w:t>Doporučují t</w:t>
      </w:r>
      <w:r w:rsidRPr="00884EA1">
        <w:t>abulka</w:t>
      </w:r>
    </w:p>
    <w:tbl>
      <w:tblPr>
        <w:tblW w:w="10177" w:type="dxa"/>
        <w:jc w:val="center"/>
        <w:shd w:val="clear" w:color="auto" w:fill="F2F2F2" w:themeFill="background1" w:themeFillShade="F2"/>
        <w:tblLayout w:type="fixed"/>
        <w:tblLook w:val="0000" w:firstRow="0" w:lastRow="0" w:firstColumn="0" w:lastColumn="0" w:noHBand="0" w:noVBand="0"/>
      </w:tblPr>
      <w:tblGrid>
        <w:gridCol w:w="1559"/>
        <w:gridCol w:w="1276"/>
        <w:gridCol w:w="1842"/>
        <w:gridCol w:w="1843"/>
        <w:gridCol w:w="1843"/>
        <w:gridCol w:w="1803"/>
        <w:gridCol w:w="11"/>
      </w:tblGrid>
      <w:tr w:rsidR="005F14DE" w:rsidRPr="00CC5713" w14:paraId="7049E804" w14:textId="77777777" w:rsidTr="00005084">
        <w:trPr>
          <w:trHeight w:val="150"/>
          <w:jc w:val="center"/>
        </w:trPr>
        <w:tc>
          <w:tcPr>
            <w:tcW w:w="1559" w:type="dxa"/>
            <w:vMerge w:val="restart"/>
            <w:tcBorders>
              <w:top w:val="single" w:sz="4" w:space="0" w:color="000000"/>
              <w:left w:val="single" w:sz="4" w:space="0" w:color="000000"/>
              <w:right w:val="single" w:sz="4" w:space="0" w:color="auto"/>
            </w:tcBorders>
            <w:shd w:val="clear" w:color="auto" w:fill="F2F2F2" w:themeFill="background1" w:themeFillShade="F2"/>
            <w:vAlign w:val="center"/>
          </w:tcPr>
          <w:p w14:paraId="02C9372B" w14:textId="77777777" w:rsidR="005F14DE" w:rsidRPr="00CC5713" w:rsidRDefault="005F14DE" w:rsidP="00005084">
            <w:pPr>
              <w:spacing w:after="0"/>
              <w:jc w:val="center"/>
              <w:rPr>
                <w:rFonts w:cs="Times New Roman"/>
                <w:sz w:val="22"/>
                <w:szCs w:val="24"/>
              </w:rPr>
            </w:pPr>
            <w:r w:rsidRPr="00CC5713">
              <w:rPr>
                <w:rFonts w:cs="Times New Roman"/>
                <w:sz w:val="22"/>
                <w:szCs w:val="24"/>
              </w:rPr>
              <w:t>Etapa</w:t>
            </w:r>
          </w:p>
        </w:tc>
        <w:tc>
          <w:tcPr>
            <w:tcW w:w="1276" w:type="dxa"/>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7C562470" w14:textId="77777777" w:rsidR="005F14DE" w:rsidRPr="00CC5713" w:rsidRDefault="005F14DE" w:rsidP="00005084">
            <w:pPr>
              <w:spacing w:after="0"/>
              <w:jc w:val="center"/>
              <w:rPr>
                <w:rFonts w:cs="Times New Roman"/>
                <w:sz w:val="22"/>
                <w:szCs w:val="24"/>
              </w:rPr>
            </w:pPr>
            <w:r w:rsidRPr="00CC5713">
              <w:rPr>
                <w:rFonts w:cs="Times New Roman"/>
                <w:sz w:val="22"/>
                <w:szCs w:val="24"/>
              </w:rPr>
              <w:t>Věk dítěte</w:t>
            </w:r>
          </w:p>
          <w:p w14:paraId="0FC0E942" w14:textId="77777777" w:rsidR="005F14DE" w:rsidRPr="00CC5713" w:rsidRDefault="005F14DE" w:rsidP="00005084">
            <w:pPr>
              <w:spacing w:after="0"/>
              <w:jc w:val="center"/>
              <w:rPr>
                <w:rFonts w:cs="Times New Roman"/>
                <w:sz w:val="22"/>
                <w:szCs w:val="24"/>
              </w:rPr>
            </w:pPr>
            <w:r w:rsidRPr="00CC5713">
              <w:rPr>
                <w:rFonts w:cs="Times New Roman"/>
                <w:sz w:val="22"/>
                <w:szCs w:val="24"/>
              </w:rPr>
              <w:t>(zpravidla)</w:t>
            </w:r>
          </w:p>
        </w:tc>
        <w:tc>
          <w:tcPr>
            <w:tcW w:w="7342" w:type="dxa"/>
            <w:gridSpan w:val="5"/>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76C14A3C" w14:textId="77777777" w:rsidR="005F14DE" w:rsidRPr="00CC5713" w:rsidRDefault="005F14DE" w:rsidP="00005084">
            <w:pPr>
              <w:spacing w:after="0"/>
              <w:jc w:val="center"/>
              <w:rPr>
                <w:rFonts w:cs="Times New Roman"/>
                <w:sz w:val="22"/>
                <w:szCs w:val="24"/>
              </w:rPr>
            </w:pPr>
            <w:r w:rsidRPr="00CC5713">
              <w:rPr>
                <w:rFonts w:cs="Times New Roman"/>
                <w:sz w:val="22"/>
                <w:szCs w:val="24"/>
              </w:rPr>
              <w:t>Podíl výživného na příjmu povinného</w:t>
            </w:r>
          </w:p>
        </w:tc>
      </w:tr>
      <w:tr w:rsidR="005F14DE" w:rsidRPr="00CC5713" w14:paraId="7A3C9764" w14:textId="77777777" w:rsidTr="00005084">
        <w:trPr>
          <w:gridAfter w:val="1"/>
          <w:wAfter w:w="11" w:type="dxa"/>
          <w:trHeight w:val="150"/>
          <w:jc w:val="center"/>
        </w:trPr>
        <w:tc>
          <w:tcPr>
            <w:tcW w:w="1559" w:type="dxa"/>
            <w:vMerge/>
            <w:tcBorders>
              <w:left w:val="single" w:sz="4" w:space="0" w:color="000000"/>
              <w:bottom w:val="single" w:sz="4" w:space="0" w:color="auto"/>
              <w:right w:val="single" w:sz="4" w:space="0" w:color="auto"/>
            </w:tcBorders>
            <w:shd w:val="clear" w:color="auto" w:fill="F2F2F2" w:themeFill="background1" w:themeFillShade="F2"/>
            <w:vAlign w:val="center"/>
          </w:tcPr>
          <w:p w14:paraId="5E56C3FB" w14:textId="77777777" w:rsidR="005F14DE" w:rsidRPr="00CC5713" w:rsidRDefault="005F14DE" w:rsidP="00005084">
            <w:pPr>
              <w:spacing w:after="0"/>
              <w:jc w:val="center"/>
              <w:rPr>
                <w:rFonts w:cs="Times New Roman"/>
                <w:sz w:val="22"/>
                <w:szCs w:val="24"/>
              </w:rPr>
            </w:pPr>
          </w:p>
        </w:tc>
        <w:tc>
          <w:tcPr>
            <w:tcW w:w="127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1A96EFE" w14:textId="77777777" w:rsidR="005F14DE" w:rsidRPr="00CC5713" w:rsidRDefault="005F14DE" w:rsidP="00005084">
            <w:pPr>
              <w:spacing w:after="0"/>
              <w:jc w:val="center"/>
              <w:rPr>
                <w:rFonts w:cs="Times New Roman"/>
                <w:sz w:val="22"/>
                <w:szCs w:val="24"/>
              </w:rPr>
            </w:pPr>
          </w:p>
        </w:tc>
        <w:tc>
          <w:tcPr>
            <w:tcW w:w="1842"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1C13D4F3" w14:textId="77777777" w:rsidR="005F14DE" w:rsidRPr="00CC5713" w:rsidRDefault="005F14DE" w:rsidP="00005084">
            <w:pPr>
              <w:spacing w:after="0"/>
              <w:jc w:val="center"/>
              <w:rPr>
                <w:rFonts w:cs="Times New Roman"/>
                <w:sz w:val="22"/>
                <w:szCs w:val="24"/>
              </w:rPr>
            </w:pPr>
            <w:r w:rsidRPr="00CC5713">
              <w:rPr>
                <w:rFonts w:cs="Times New Roman"/>
                <w:sz w:val="22"/>
                <w:szCs w:val="24"/>
              </w:rPr>
              <w:t>1 vyživovací povinnost</w:t>
            </w:r>
          </w:p>
        </w:tc>
        <w:tc>
          <w:tcPr>
            <w:tcW w:w="184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3FDD3D7A" w14:textId="77777777" w:rsidR="005F14DE" w:rsidRPr="00CC5713" w:rsidRDefault="005F14DE" w:rsidP="00005084">
            <w:pPr>
              <w:spacing w:after="0"/>
              <w:jc w:val="center"/>
              <w:rPr>
                <w:rFonts w:cs="Times New Roman"/>
                <w:sz w:val="22"/>
                <w:szCs w:val="24"/>
              </w:rPr>
            </w:pPr>
            <w:r w:rsidRPr="00CC5713">
              <w:rPr>
                <w:rFonts w:cs="Times New Roman"/>
                <w:sz w:val="22"/>
                <w:szCs w:val="24"/>
              </w:rPr>
              <w:t>2 vyživovací povinnosti</w:t>
            </w:r>
          </w:p>
        </w:tc>
        <w:tc>
          <w:tcPr>
            <w:tcW w:w="184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258C4AF0" w14:textId="77777777" w:rsidR="005F14DE" w:rsidRPr="00CC5713" w:rsidRDefault="005F14DE" w:rsidP="00005084">
            <w:pPr>
              <w:spacing w:after="0"/>
              <w:jc w:val="center"/>
              <w:rPr>
                <w:rFonts w:cs="Times New Roman"/>
                <w:sz w:val="22"/>
                <w:szCs w:val="24"/>
              </w:rPr>
            </w:pPr>
            <w:r w:rsidRPr="00CC5713">
              <w:rPr>
                <w:rFonts w:cs="Times New Roman"/>
                <w:sz w:val="22"/>
                <w:szCs w:val="24"/>
              </w:rPr>
              <w:t>3 vyživovací povinnosti</w:t>
            </w:r>
          </w:p>
        </w:tc>
        <w:tc>
          <w:tcPr>
            <w:tcW w:w="180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122395F5" w14:textId="77777777" w:rsidR="005F14DE" w:rsidRPr="00CC5713" w:rsidRDefault="005F14DE" w:rsidP="00005084">
            <w:pPr>
              <w:spacing w:after="0"/>
              <w:jc w:val="center"/>
              <w:rPr>
                <w:rFonts w:cs="Times New Roman"/>
                <w:sz w:val="22"/>
                <w:szCs w:val="24"/>
              </w:rPr>
            </w:pPr>
            <w:r w:rsidRPr="00CC5713">
              <w:rPr>
                <w:rFonts w:cs="Times New Roman"/>
                <w:sz w:val="22"/>
                <w:szCs w:val="24"/>
              </w:rPr>
              <w:t>4 vyživovací povinnosti</w:t>
            </w:r>
          </w:p>
        </w:tc>
      </w:tr>
      <w:tr w:rsidR="005F14DE" w:rsidRPr="00CC5713" w14:paraId="637D7C67" w14:textId="77777777" w:rsidTr="00005084">
        <w:trPr>
          <w:gridAfter w:val="1"/>
          <w:wAfter w:w="11" w:type="dxa"/>
          <w:trHeight w:val="423"/>
          <w:jc w:val="center"/>
        </w:trPr>
        <w:tc>
          <w:tcPr>
            <w:tcW w:w="1559" w:type="dxa"/>
            <w:tcBorders>
              <w:top w:val="single" w:sz="4" w:space="0" w:color="auto"/>
              <w:left w:val="single" w:sz="4" w:space="0" w:color="000000"/>
              <w:bottom w:val="single" w:sz="4" w:space="0" w:color="000000"/>
              <w:right w:val="single" w:sz="4" w:space="0" w:color="auto"/>
            </w:tcBorders>
            <w:shd w:val="clear" w:color="auto" w:fill="FBE4D5" w:themeFill="accent2" w:themeFillTint="33"/>
            <w:vAlign w:val="center"/>
          </w:tcPr>
          <w:p w14:paraId="0188CACC" w14:textId="77777777" w:rsidR="005F14DE" w:rsidRPr="00CC5713" w:rsidRDefault="005F14DE" w:rsidP="00005084">
            <w:pPr>
              <w:spacing w:after="0"/>
              <w:jc w:val="center"/>
              <w:rPr>
                <w:rFonts w:cs="Times New Roman"/>
                <w:b/>
                <w:sz w:val="22"/>
                <w:szCs w:val="24"/>
              </w:rPr>
            </w:pPr>
            <w:r w:rsidRPr="00CC5713">
              <w:rPr>
                <w:rFonts w:cs="Times New Roman"/>
                <w:b/>
                <w:sz w:val="22"/>
                <w:szCs w:val="24"/>
              </w:rPr>
              <w:t>Předškolní věk</w:t>
            </w:r>
          </w:p>
        </w:tc>
        <w:tc>
          <w:tcPr>
            <w:tcW w:w="1276" w:type="dxa"/>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tcPr>
          <w:p w14:paraId="77D8A423" w14:textId="77777777" w:rsidR="005F14DE" w:rsidRPr="00CC5713" w:rsidRDefault="005F14DE" w:rsidP="00005084">
            <w:pPr>
              <w:spacing w:after="0"/>
              <w:jc w:val="center"/>
              <w:rPr>
                <w:rFonts w:cs="Times New Roman"/>
                <w:sz w:val="22"/>
                <w:szCs w:val="24"/>
              </w:rPr>
            </w:pPr>
            <w:r w:rsidRPr="00CC5713">
              <w:rPr>
                <w:rFonts w:cs="Times New Roman"/>
                <w:sz w:val="22"/>
                <w:szCs w:val="24"/>
              </w:rPr>
              <w:t>0–5</w:t>
            </w:r>
            <w:r>
              <w:rPr>
                <w:rFonts w:cs="Times New Roman"/>
                <w:sz w:val="22"/>
                <w:szCs w:val="24"/>
              </w:rPr>
              <w:t xml:space="preserve"> let</w:t>
            </w:r>
          </w:p>
        </w:tc>
        <w:tc>
          <w:tcPr>
            <w:tcW w:w="1842" w:type="dxa"/>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tcPr>
          <w:p w14:paraId="4D1DBD1D" w14:textId="77777777" w:rsidR="005F14DE" w:rsidRPr="00CC5713" w:rsidRDefault="005F14DE" w:rsidP="00005084">
            <w:pPr>
              <w:spacing w:after="0"/>
              <w:jc w:val="center"/>
              <w:rPr>
                <w:rFonts w:cs="Times New Roman"/>
                <w:sz w:val="22"/>
                <w:szCs w:val="24"/>
              </w:rPr>
            </w:pPr>
            <w:r w:rsidRPr="00CC5713">
              <w:rPr>
                <w:rFonts w:cs="Times New Roman"/>
                <w:sz w:val="22"/>
                <w:szCs w:val="24"/>
              </w:rPr>
              <w:t>14 %</w:t>
            </w:r>
          </w:p>
        </w:tc>
        <w:tc>
          <w:tcPr>
            <w:tcW w:w="1843" w:type="dxa"/>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tcPr>
          <w:p w14:paraId="08ECE438" w14:textId="77777777" w:rsidR="005F14DE" w:rsidRPr="00CC5713" w:rsidRDefault="005F14DE" w:rsidP="00005084">
            <w:pPr>
              <w:spacing w:after="0"/>
              <w:jc w:val="center"/>
              <w:rPr>
                <w:rFonts w:cs="Times New Roman"/>
                <w:sz w:val="22"/>
                <w:szCs w:val="24"/>
              </w:rPr>
            </w:pPr>
            <w:r w:rsidRPr="00CC5713">
              <w:rPr>
                <w:rFonts w:cs="Times New Roman"/>
                <w:sz w:val="22"/>
                <w:szCs w:val="24"/>
              </w:rPr>
              <w:t>12 %</w:t>
            </w:r>
          </w:p>
        </w:tc>
        <w:tc>
          <w:tcPr>
            <w:tcW w:w="1843" w:type="dxa"/>
            <w:tcBorders>
              <w:top w:val="single" w:sz="4" w:space="0" w:color="auto"/>
              <w:left w:val="single" w:sz="4" w:space="0" w:color="auto"/>
              <w:bottom w:val="single" w:sz="4" w:space="0" w:color="000000"/>
              <w:right w:val="single" w:sz="4" w:space="0" w:color="auto"/>
            </w:tcBorders>
            <w:shd w:val="clear" w:color="auto" w:fill="F4B083" w:themeFill="accent2" w:themeFillTint="99"/>
            <w:vAlign w:val="center"/>
          </w:tcPr>
          <w:p w14:paraId="02FBF44A" w14:textId="77777777" w:rsidR="005F14DE" w:rsidRPr="00CC5713" w:rsidRDefault="005F14DE" w:rsidP="00005084">
            <w:pPr>
              <w:spacing w:after="0"/>
              <w:jc w:val="center"/>
              <w:rPr>
                <w:rFonts w:cs="Times New Roman"/>
                <w:sz w:val="22"/>
                <w:szCs w:val="24"/>
              </w:rPr>
            </w:pPr>
            <w:r w:rsidRPr="00CC5713">
              <w:rPr>
                <w:rFonts w:cs="Times New Roman"/>
                <w:sz w:val="22"/>
                <w:szCs w:val="24"/>
              </w:rPr>
              <w:t>10 %</w:t>
            </w:r>
          </w:p>
        </w:tc>
        <w:tc>
          <w:tcPr>
            <w:tcW w:w="1803" w:type="dxa"/>
            <w:tcBorders>
              <w:top w:val="single" w:sz="4" w:space="0" w:color="auto"/>
              <w:left w:val="single" w:sz="4" w:space="0" w:color="auto"/>
              <w:bottom w:val="single" w:sz="4" w:space="0" w:color="000000"/>
              <w:right w:val="single" w:sz="4" w:space="0" w:color="auto"/>
            </w:tcBorders>
            <w:shd w:val="clear" w:color="auto" w:fill="C45911" w:themeFill="accent2" w:themeFillShade="BF"/>
            <w:vAlign w:val="center"/>
          </w:tcPr>
          <w:p w14:paraId="16D77A5A" w14:textId="77777777" w:rsidR="005F14DE" w:rsidRPr="00CC5713" w:rsidRDefault="005F14DE" w:rsidP="00005084">
            <w:pPr>
              <w:spacing w:after="0"/>
              <w:jc w:val="center"/>
              <w:rPr>
                <w:rFonts w:cs="Times New Roman"/>
                <w:sz w:val="22"/>
                <w:szCs w:val="24"/>
              </w:rPr>
            </w:pPr>
            <w:r w:rsidRPr="00CC5713">
              <w:rPr>
                <w:rFonts w:cs="Times New Roman"/>
                <w:sz w:val="22"/>
                <w:szCs w:val="24"/>
              </w:rPr>
              <w:t>8 %</w:t>
            </w:r>
          </w:p>
        </w:tc>
      </w:tr>
      <w:tr w:rsidR="005F14DE" w:rsidRPr="00CC5713" w14:paraId="5B71E5CD" w14:textId="77777777" w:rsidTr="00005084">
        <w:trPr>
          <w:gridAfter w:val="1"/>
          <w:wAfter w:w="11" w:type="dxa"/>
          <w:trHeight w:val="421"/>
          <w:jc w:val="center"/>
        </w:trPr>
        <w:tc>
          <w:tcPr>
            <w:tcW w:w="1559"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01A649E" w14:textId="77777777" w:rsidR="005F14DE" w:rsidRPr="00CC5713" w:rsidRDefault="005F14DE" w:rsidP="00005084">
            <w:pPr>
              <w:spacing w:after="0"/>
              <w:jc w:val="center"/>
              <w:rPr>
                <w:rFonts w:cs="Times New Roman"/>
                <w:b/>
                <w:sz w:val="22"/>
                <w:szCs w:val="24"/>
              </w:rPr>
            </w:pPr>
            <w:r w:rsidRPr="00CC5713">
              <w:rPr>
                <w:rFonts w:cs="Times New Roman"/>
                <w:b/>
                <w:sz w:val="22"/>
                <w:szCs w:val="24"/>
              </w:rPr>
              <w:t>I. stupeň ZŠ</w:t>
            </w:r>
          </w:p>
        </w:tc>
        <w:tc>
          <w:tcPr>
            <w:tcW w:w="1276"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6F92DC22" w14:textId="77777777" w:rsidR="005F14DE" w:rsidRPr="00CC5713" w:rsidRDefault="005F14DE" w:rsidP="00005084">
            <w:pPr>
              <w:spacing w:after="0"/>
              <w:jc w:val="center"/>
              <w:rPr>
                <w:rFonts w:cs="Times New Roman"/>
                <w:sz w:val="22"/>
                <w:szCs w:val="24"/>
              </w:rPr>
            </w:pPr>
            <w:r w:rsidRPr="00CC5713">
              <w:rPr>
                <w:rFonts w:cs="Times New Roman"/>
                <w:sz w:val="22"/>
                <w:szCs w:val="24"/>
              </w:rPr>
              <w:t xml:space="preserve"> 6–10</w:t>
            </w:r>
            <w:r>
              <w:rPr>
                <w:rFonts w:cs="Times New Roman"/>
                <w:sz w:val="22"/>
                <w:szCs w:val="24"/>
              </w:rPr>
              <w:t xml:space="preserve"> let</w:t>
            </w:r>
          </w:p>
        </w:tc>
        <w:tc>
          <w:tcPr>
            <w:tcW w:w="1842"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70140347" w14:textId="77777777" w:rsidR="005F14DE" w:rsidRPr="00CC5713" w:rsidRDefault="005F14DE" w:rsidP="00005084">
            <w:pPr>
              <w:spacing w:after="0"/>
              <w:jc w:val="center"/>
              <w:rPr>
                <w:rFonts w:cs="Times New Roman"/>
                <w:sz w:val="22"/>
                <w:szCs w:val="24"/>
              </w:rPr>
            </w:pPr>
            <w:r w:rsidRPr="00CC5713">
              <w:rPr>
                <w:rFonts w:cs="Times New Roman"/>
                <w:sz w:val="22"/>
                <w:szCs w:val="24"/>
              </w:rPr>
              <w:t>16 %</w:t>
            </w:r>
          </w:p>
        </w:tc>
        <w:tc>
          <w:tcPr>
            <w:tcW w:w="184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4ACEAF9B" w14:textId="77777777" w:rsidR="005F14DE" w:rsidRPr="00CC5713" w:rsidRDefault="005F14DE" w:rsidP="00005084">
            <w:pPr>
              <w:spacing w:after="0"/>
              <w:jc w:val="center"/>
              <w:rPr>
                <w:rFonts w:cs="Times New Roman"/>
                <w:sz w:val="22"/>
                <w:szCs w:val="24"/>
              </w:rPr>
            </w:pPr>
            <w:r w:rsidRPr="00CC5713">
              <w:rPr>
                <w:rFonts w:cs="Times New Roman"/>
                <w:sz w:val="22"/>
                <w:szCs w:val="24"/>
              </w:rPr>
              <w:t>14 %</w:t>
            </w:r>
          </w:p>
        </w:tc>
        <w:tc>
          <w:tcPr>
            <w:tcW w:w="184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7633AE0A" w14:textId="77777777" w:rsidR="005F14DE" w:rsidRPr="00CC5713" w:rsidRDefault="005F14DE" w:rsidP="00005084">
            <w:pPr>
              <w:spacing w:after="0"/>
              <w:jc w:val="center"/>
              <w:rPr>
                <w:rFonts w:cs="Times New Roman"/>
                <w:sz w:val="22"/>
                <w:szCs w:val="24"/>
              </w:rPr>
            </w:pPr>
            <w:r w:rsidRPr="00CC5713">
              <w:rPr>
                <w:rFonts w:cs="Times New Roman"/>
                <w:sz w:val="22"/>
                <w:szCs w:val="24"/>
              </w:rPr>
              <w:t>12 %</w:t>
            </w:r>
          </w:p>
        </w:tc>
        <w:tc>
          <w:tcPr>
            <w:tcW w:w="1803" w:type="dxa"/>
            <w:tcBorders>
              <w:top w:val="single" w:sz="4" w:space="0" w:color="000000"/>
              <w:left w:val="single" w:sz="4" w:space="0" w:color="auto"/>
              <w:bottom w:val="single" w:sz="4" w:space="0" w:color="000000"/>
              <w:right w:val="single" w:sz="4" w:space="0" w:color="auto"/>
            </w:tcBorders>
            <w:shd w:val="clear" w:color="auto" w:fill="BF8F00" w:themeFill="accent4" w:themeFillShade="BF"/>
            <w:vAlign w:val="center"/>
          </w:tcPr>
          <w:p w14:paraId="37A8A294" w14:textId="77777777" w:rsidR="005F14DE" w:rsidRPr="00CC5713" w:rsidRDefault="005F14DE" w:rsidP="00005084">
            <w:pPr>
              <w:spacing w:after="0"/>
              <w:jc w:val="center"/>
              <w:rPr>
                <w:rFonts w:cs="Times New Roman"/>
                <w:sz w:val="22"/>
                <w:szCs w:val="24"/>
              </w:rPr>
            </w:pPr>
            <w:r w:rsidRPr="00CC5713">
              <w:rPr>
                <w:rFonts w:cs="Times New Roman"/>
                <w:sz w:val="22"/>
                <w:szCs w:val="24"/>
              </w:rPr>
              <w:t>10 %</w:t>
            </w:r>
          </w:p>
        </w:tc>
      </w:tr>
      <w:tr w:rsidR="005F14DE" w:rsidRPr="00CC5713" w14:paraId="0AD457D1" w14:textId="77777777" w:rsidTr="00005084">
        <w:trPr>
          <w:gridAfter w:val="1"/>
          <w:wAfter w:w="11" w:type="dxa"/>
          <w:trHeight w:val="465"/>
          <w:jc w:val="center"/>
        </w:trPr>
        <w:tc>
          <w:tcPr>
            <w:tcW w:w="1559"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3B89C1BD" w14:textId="77777777" w:rsidR="005F14DE" w:rsidRPr="00CC5713" w:rsidRDefault="005F14DE" w:rsidP="00005084">
            <w:pPr>
              <w:spacing w:after="0"/>
              <w:jc w:val="center"/>
              <w:rPr>
                <w:rFonts w:cs="Times New Roman"/>
                <w:b/>
                <w:sz w:val="22"/>
                <w:szCs w:val="24"/>
              </w:rPr>
            </w:pPr>
            <w:r w:rsidRPr="00CC5713">
              <w:rPr>
                <w:rFonts w:cs="Times New Roman"/>
                <w:b/>
                <w:sz w:val="22"/>
                <w:szCs w:val="24"/>
              </w:rPr>
              <w:t>II. stupeň ZŠ</w:t>
            </w:r>
            <w:r w:rsidRPr="00FC0478">
              <w:rPr>
                <w:rStyle w:val="Znakapoznpodarou"/>
                <w:rFonts w:cs="Times New Roman"/>
                <w:bCs/>
                <w:sz w:val="22"/>
                <w:szCs w:val="24"/>
              </w:rPr>
              <w:footnoteReference w:id="9"/>
            </w:r>
          </w:p>
        </w:tc>
        <w:tc>
          <w:tcPr>
            <w:tcW w:w="1276"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tcPr>
          <w:p w14:paraId="2EDA4874" w14:textId="77777777" w:rsidR="005F14DE" w:rsidRPr="00CC5713" w:rsidRDefault="005F14DE" w:rsidP="00005084">
            <w:pPr>
              <w:spacing w:after="0"/>
              <w:jc w:val="center"/>
              <w:rPr>
                <w:rFonts w:cs="Times New Roman"/>
                <w:sz w:val="22"/>
                <w:szCs w:val="24"/>
              </w:rPr>
            </w:pPr>
            <w:r w:rsidRPr="00CC5713">
              <w:rPr>
                <w:rFonts w:cs="Times New Roman"/>
                <w:sz w:val="22"/>
                <w:szCs w:val="24"/>
              </w:rPr>
              <w:t xml:space="preserve">11–15 </w:t>
            </w:r>
            <w:r>
              <w:rPr>
                <w:rFonts w:cs="Times New Roman"/>
                <w:sz w:val="22"/>
                <w:szCs w:val="24"/>
              </w:rPr>
              <w:t>let</w:t>
            </w:r>
          </w:p>
        </w:tc>
        <w:tc>
          <w:tcPr>
            <w:tcW w:w="1842"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tcPr>
          <w:p w14:paraId="071A46FC" w14:textId="77777777" w:rsidR="005F14DE" w:rsidRPr="00CC5713" w:rsidRDefault="005F14DE" w:rsidP="00005084">
            <w:pPr>
              <w:spacing w:after="0"/>
              <w:jc w:val="center"/>
              <w:rPr>
                <w:rFonts w:cs="Times New Roman"/>
                <w:sz w:val="22"/>
                <w:szCs w:val="24"/>
              </w:rPr>
            </w:pPr>
            <w:r w:rsidRPr="00CC5713">
              <w:rPr>
                <w:rFonts w:cs="Times New Roman"/>
                <w:sz w:val="22"/>
                <w:szCs w:val="24"/>
              </w:rPr>
              <w:t>18 %</w:t>
            </w:r>
          </w:p>
        </w:tc>
        <w:tc>
          <w:tcPr>
            <w:tcW w:w="1843"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1621F7E8" w14:textId="77777777" w:rsidR="005F14DE" w:rsidRPr="00CC5713" w:rsidRDefault="005F14DE" w:rsidP="00005084">
            <w:pPr>
              <w:spacing w:after="0"/>
              <w:jc w:val="center"/>
              <w:rPr>
                <w:rFonts w:cs="Times New Roman"/>
                <w:sz w:val="22"/>
                <w:szCs w:val="24"/>
              </w:rPr>
            </w:pPr>
            <w:r w:rsidRPr="00CC5713">
              <w:rPr>
                <w:rFonts w:cs="Times New Roman"/>
                <w:sz w:val="22"/>
                <w:szCs w:val="24"/>
              </w:rPr>
              <w:t>16 %</w:t>
            </w:r>
          </w:p>
        </w:tc>
        <w:tc>
          <w:tcPr>
            <w:tcW w:w="1843" w:type="dxa"/>
            <w:tcBorders>
              <w:top w:val="single" w:sz="4" w:space="0" w:color="000000"/>
              <w:left w:val="single" w:sz="4" w:space="0" w:color="auto"/>
              <w:bottom w:val="single" w:sz="4" w:space="0" w:color="000000"/>
              <w:right w:val="single" w:sz="4" w:space="0" w:color="auto"/>
            </w:tcBorders>
            <w:shd w:val="clear" w:color="auto" w:fill="9CC2E5" w:themeFill="accent1" w:themeFillTint="99"/>
            <w:vAlign w:val="center"/>
          </w:tcPr>
          <w:p w14:paraId="30304843" w14:textId="77777777" w:rsidR="005F14DE" w:rsidRPr="00CC5713" w:rsidRDefault="005F14DE" w:rsidP="00005084">
            <w:pPr>
              <w:spacing w:after="0"/>
              <w:jc w:val="center"/>
              <w:rPr>
                <w:rFonts w:cs="Times New Roman"/>
                <w:sz w:val="22"/>
                <w:szCs w:val="24"/>
              </w:rPr>
            </w:pPr>
            <w:r w:rsidRPr="00CC5713">
              <w:rPr>
                <w:rFonts w:cs="Times New Roman"/>
                <w:sz w:val="22"/>
                <w:szCs w:val="24"/>
              </w:rPr>
              <w:t>14 %</w:t>
            </w:r>
          </w:p>
        </w:tc>
        <w:tc>
          <w:tcPr>
            <w:tcW w:w="1803" w:type="dxa"/>
            <w:tcBorders>
              <w:top w:val="single" w:sz="4" w:space="0" w:color="000000"/>
              <w:left w:val="single" w:sz="4" w:space="0" w:color="auto"/>
              <w:bottom w:val="single" w:sz="4" w:space="0" w:color="000000"/>
              <w:right w:val="single" w:sz="4" w:space="0" w:color="auto"/>
            </w:tcBorders>
            <w:shd w:val="clear" w:color="auto" w:fill="2E74B5" w:themeFill="accent1" w:themeFillShade="BF"/>
            <w:vAlign w:val="center"/>
          </w:tcPr>
          <w:p w14:paraId="47510908" w14:textId="77777777" w:rsidR="005F14DE" w:rsidRPr="00CC5713" w:rsidRDefault="005F14DE" w:rsidP="00005084">
            <w:pPr>
              <w:spacing w:after="0"/>
              <w:jc w:val="center"/>
              <w:rPr>
                <w:rFonts w:cs="Times New Roman"/>
                <w:sz w:val="22"/>
                <w:szCs w:val="24"/>
              </w:rPr>
            </w:pPr>
            <w:r w:rsidRPr="00CC5713">
              <w:rPr>
                <w:rFonts w:cs="Times New Roman"/>
                <w:sz w:val="22"/>
                <w:szCs w:val="24"/>
              </w:rPr>
              <w:t>12 %</w:t>
            </w:r>
          </w:p>
        </w:tc>
      </w:tr>
      <w:tr w:rsidR="005F14DE" w:rsidRPr="00CC5713" w14:paraId="790D69B6" w14:textId="77777777" w:rsidTr="00005084">
        <w:trPr>
          <w:gridAfter w:val="1"/>
          <w:wAfter w:w="11" w:type="dxa"/>
          <w:trHeight w:val="309"/>
          <w:jc w:val="center"/>
        </w:trPr>
        <w:tc>
          <w:tcPr>
            <w:tcW w:w="1559"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0F39B396" w14:textId="77777777" w:rsidR="005F14DE" w:rsidRPr="00CC5713" w:rsidRDefault="005F14DE" w:rsidP="00005084">
            <w:pPr>
              <w:spacing w:after="0"/>
              <w:jc w:val="center"/>
              <w:rPr>
                <w:rFonts w:cs="Times New Roman"/>
                <w:b/>
                <w:sz w:val="22"/>
                <w:szCs w:val="24"/>
              </w:rPr>
            </w:pPr>
            <w:r w:rsidRPr="00CC5713">
              <w:rPr>
                <w:rFonts w:cs="Times New Roman"/>
                <w:b/>
                <w:sz w:val="22"/>
                <w:szCs w:val="24"/>
              </w:rPr>
              <w:t>SŠ a vyšší vzdělávání</w:t>
            </w:r>
          </w:p>
        </w:tc>
        <w:tc>
          <w:tcPr>
            <w:tcW w:w="1276"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33AB3FFC" w14:textId="77777777" w:rsidR="005F14DE" w:rsidRPr="00CC5713" w:rsidRDefault="005F14DE" w:rsidP="00005084">
            <w:pPr>
              <w:spacing w:after="0"/>
              <w:jc w:val="center"/>
              <w:rPr>
                <w:rFonts w:cs="Times New Roman"/>
                <w:sz w:val="22"/>
                <w:szCs w:val="24"/>
              </w:rPr>
            </w:pPr>
            <w:r w:rsidRPr="00CC5713">
              <w:rPr>
                <w:rFonts w:cs="Times New Roman"/>
                <w:sz w:val="22"/>
                <w:szCs w:val="24"/>
              </w:rPr>
              <w:t>16 a více</w:t>
            </w:r>
            <w:r>
              <w:rPr>
                <w:rFonts w:cs="Times New Roman"/>
                <w:sz w:val="22"/>
                <w:szCs w:val="24"/>
              </w:rPr>
              <w:t xml:space="preserve"> let</w:t>
            </w:r>
          </w:p>
        </w:tc>
        <w:tc>
          <w:tcPr>
            <w:tcW w:w="1842"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4BC26CC1" w14:textId="77777777" w:rsidR="005F14DE" w:rsidRPr="00CC5713" w:rsidRDefault="005F14DE" w:rsidP="00005084">
            <w:pPr>
              <w:spacing w:after="0"/>
              <w:jc w:val="center"/>
              <w:rPr>
                <w:rFonts w:cs="Times New Roman"/>
                <w:sz w:val="22"/>
                <w:szCs w:val="24"/>
              </w:rPr>
            </w:pPr>
            <w:r w:rsidRPr="00CC5713">
              <w:rPr>
                <w:rFonts w:cs="Times New Roman"/>
                <w:sz w:val="22"/>
                <w:szCs w:val="24"/>
              </w:rPr>
              <w:t>20 %</w:t>
            </w:r>
          </w:p>
        </w:tc>
        <w:tc>
          <w:tcPr>
            <w:tcW w:w="1843" w:type="dxa"/>
            <w:tcBorders>
              <w:top w:val="single" w:sz="4" w:space="0" w:color="000000"/>
              <w:left w:val="single" w:sz="4" w:space="0" w:color="auto"/>
              <w:bottom w:val="single" w:sz="4" w:space="0" w:color="000000"/>
              <w:right w:val="single" w:sz="4" w:space="0" w:color="auto"/>
            </w:tcBorders>
            <w:shd w:val="clear" w:color="auto" w:fill="C5E0B3" w:themeFill="accent6" w:themeFillTint="66"/>
            <w:vAlign w:val="center"/>
          </w:tcPr>
          <w:p w14:paraId="7CD30984" w14:textId="77777777" w:rsidR="005F14DE" w:rsidRPr="00CC5713" w:rsidRDefault="005F14DE" w:rsidP="00005084">
            <w:pPr>
              <w:spacing w:after="0"/>
              <w:jc w:val="center"/>
              <w:rPr>
                <w:rFonts w:cs="Times New Roman"/>
                <w:sz w:val="22"/>
                <w:szCs w:val="24"/>
              </w:rPr>
            </w:pPr>
            <w:r w:rsidRPr="00CC5713">
              <w:rPr>
                <w:rFonts w:cs="Times New Roman"/>
                <w:sz w:val="22"/>
                <w:szCs w:val="24"/>
              </w:rPr>
              <w:t>18 %</w:t>
            </w:r>
          </w:p>
        </w:tc>
        <w:tc>
          <w:tcPr>
            <w:tcW w:w="1843" w:type="dxa"/>
            <w:tcBorders>
              <w:top w:val="single" w:sz="4" w:space="0" w:color="000000"/>
              <w:left w:val="single" w:sz="4" w:space="0" w:color="auto"/>
              <w:bottom w:val="single" w:sz="4" w:space="0" w:color="000000"/>
              <w:right w:val="single" w:sz="4" w:space="0" w:color="auto"/>
            </w:tcBorders>
            <w:shd w:val="clear" w:color="auto" w:fill="A8D08D" w:themeFill="accent6" w:themeFillTint="99"/>
            <w:vAlign w:val="center"/>
          </w:tcPr>
          <w:p w14:paraId="47211240" w14:textId="77777777" w:rsidR="005F14DE" w:rsidRPr="00CC5713" w:rsidRDefault="005F14DE" w:rsidP="00005084">
            <w:pPr>
              <w:spacing w:after="0"/>
              <w:jc w:val="center"/>
              <w:rPr>
                <w:rFonts w:cs="Times New Roman"/>
                <w:sz w:val="22"/>
                <w:szCs w:val="24"/>
              </w:rPr>
            </w:pPr>
            <w:r w:rsidRPr="00CC5713">
              <w:rPr>
                <w:rFonts w:cs="Times New Roman"/>
                <w:sz w:val="22"/>
                <w:szCs w:val="24"/>
              </w:rPr>
              <w:t>16 %</w:t>
            </w:r>
          </w:p>
        </w:tc>
        <w:tc>
          <w:tcPr>
            <w:tcW w:w="1803" w:type="dxa"/>
            <w:tcBorders>
              <w:top w:val="single" w:sz="4" w:space="0" w:color="000000"/>
              <w:left w:val="single" w:sz="4" w:space="0" w:color="auto"/>
              <w:bottom w:val="single" w:sz="4" w:space="0" w:color="000000"/>
              <w:right w:val="single" w:sz="4" w:space="0" w:color="auto"/>
            </w:tcBorders>
            <w:shd w:val="clear" w:color="auto" w:fill="538135" w:themeFill="accent6" w:themeFillShade="BF"/>
            <w:vAlign w:val="center"/>
          </w:tcPr>
          <w:p w14:paraId="5AC6007C" w14:textId="77777777" w:rsidR="005F14DE" w:rsidRPr="00CC5713" w:rsidRDefault="005F14DE" w:rsidP="00005084">
            <w:pPr>
              <w:spacing w:after="0"/>
              <w:jc w:val="center"/>
              <w:rPr>
                <w:rFonts w:cs="Times New Roman"/>
                <w:sz w:val="22"/>
                <w:szCs w:val="24"/>
              </w:rPr>
            </w:pPr>
            <w:r w:rsidRPr="00CC5713">
              <w:rPr>
                <w:rFonts w:cs="Times New Roman"/>
                <w:sz w:val="22"/>
                <w:szCs w:val="24"/>
              </w:rPr>
              <w:t>14 %</w:t>
            </w:r>
          </w:p>
        </w:tc>
      </w:tr>
      <w:tr w:rsidR="005F14DE" w:rsidRPr="00CC5713" w14:paraId="46EEFA3D" w14:textId="77777777" w:rsidTr="00005084">
        <w:trPr>
          <w:gridAfter w:val="1"/>
          <w:wAfter w:w="11" w:type="dxa"/>
          <w:trHeight w:val="309"/>
          <w:jc w:val="center"/>
        </w:trPr>
        <w:tc>
          <w:tcPr>
            <w:tcW w:w="2835"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29D7510" w14:textId="77777777" w:rsidR="005F14DE" w:rsidRPr="00CC5713" w:rsidRDefault="005F14DE" w:rsidP="00005084">
            <w:pPr>
              <w:spacing w:after="0"/>
              <w:jc w:val="center"/>
              <w:rPr>
                <w:rFonts w:cs="Times New Roman"/>
                <w:sz w:val="22"/>
                <w:szCs w:val="24"/>
              </w:rPr>
            </w:pPr>
            <w:r w:rsidRPr="00CC5713">
              <w:rPr>
                <w:rFonts w:cs="Times New Roman"/>
                <w:sz w:val="22"/>
                <w:szCs w:val="24"/>
              </w:rPr>
              <w:t>Kontrolní částka</w:t>
            </w:r>
          </w:p>
        </w:tc>
        <w:tc>
          <w:tcPr>
            <w:tcW w:w="184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DA0A9B9" w14:textId="77777777" w:rsidR="005F14DE" w:rsidRPr="00CC5713" w:rsidRDefault="005F14DE" w:rsidP="00005084">
            <w:pPr>
              <w:spacing w:after="0"/>
              <w:jc w:val="left"/>
              <w:rPr>
                <w:rFonts w:cs="Times New Roman"/>
                <w:sz w:val="22"/>
                <w:szCs w:val="24"/>
              </w:rPr>
            </w:pPr>
            <w:r w:rsidRPr="00CC5713">
              <w:rPr>
                <w:rFonts w:cs="Times New Roman"/>
                <w:sz w:val="22"/>
                <w:szCs w:val="24"/>
              </w:rPr>
              <w:t xml:space="preserve">Pevná spodní hranice </w:t>
            </w:r>
          </w:p>
        </w:tc>
        <w:tc>
          <w:tcPr>
            <w:tcW w:w="184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79BFFEA" w14:textId="77777777" w:rsidR="005F14DE" w:rsidRPr="00CC5713" w:rsidDel="00B8200D" w:rsidRDefault="005F14DE" w:rsidP="00005084">
            <w:pPr>
              <w:spacing w:after="0"/>
              <w:jc w:val="left"/>
              <w:rPr>
                <w:rFonts w:cs="Times New Roman"/>
                <w:sz w:val="22"/>
                <w:szCs w:val="24"/>
              </w:rPr>
            </w:pPr>
            <w:r w:rsidRPr="00CC5713">
              <w:rPr>
                <w:rFonts w:cs="Times New Roman"/>
                <w:sz w:val="22"/>
                <w:szCs w:val="24"/>
              </w:rPr>
              <w:t>66 % z příjmu</w:t>
            </w:r>
            <w:r>
              <w:rPr>
                <w:rFonts w:cs="Times New Roman"/>
                <w:sz w:val="22"/>
                <w:szCs w:val="24"/>
              </w:rPr>
              <w:t xml:space="preserve"> nebo</w:t>
            </w:r>
            <w:r w:rsidRPr="00CC5713">
              <w:rPr>
                <w:rFonts w:cs="Times New Roman"/>
                <w:sz w:val="22"/>
                <w:szCs w:val="24"/>
              </w:rPr>
              <w:t xml:space="preserve"> pevná spodní hranice</w:t>
            </w:r>
            <w:r>
              <w:rPr>
                <w:rFonts w:cs="Times New Roman"/>
                <w:sz w:val="22"/>
                <w:szCs w:val="24"/>
              </w:rPr>
              <w:t xml:space="preserve"> (podle toho, která částka je vyšší) </w:t>
            </w:r>
          </w:p>
        </w:tc>
        <w:tc>
          <w:tcPr>
            <w:tcW w:w="184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6B58874" w14:textId="77777777" w:rsidR="005F14DE" w:rsidRPr="00CC5713" w:rsidRDefault="005F14DE" w:rsidP="00005084">
            <w:pPr>
              <w:spacing w:after="0"/>
              <w:jc w:val="left"/>
              <w:rPr>
                <w:rFonts w:cs="Times New Roman"/>
                <w:sz w:val="22"/>
                <w:szCs w:val="24"/>
              </w:rPr>
            </w:pPr>
            <w:r w:rsidRPr="00CC5713">
              <w:rPr>
                <w:rFonts w:cs="Times New Roman"/>
                <w:sz w:val="22"/>
                <w:szCs w:val="24"/>
              </w:rPr>
              <w:t>55 % z</w:t>
            </w:r>
            <w:r>
              <w:rPr>
                <w:rFonts w:cs="Times New Roman"/>
                <w:sz w:val="22"/>
                <w:szCs w:val="24"/>
              </w:rPr>
              <w:t> </w:t>
            </w:r>
            <w:r w:rsidRPr="00CC5713">
              <w:rPr>
                <w:rFonts w:cs="Times New Roman"/>
                <w:sz w:val="22"/>
                <w:szCs w:val="24"/>
              </w:rPr>
              <w:t>příjmu</w:t>
            </w:r>
            <w:r>
              <w:rPr>
                <w:rFonts w:cs="Times New Roman"/>
                <w:sz w:val="22"/>
                <w:szCs w:val="24"/>
              </w:rPr>
              <w:t xml:space="preserve"> nebo</w:t>
            </w:r>
          </w:p>
          <w:p w14:paraId="4D4098D1" w14:textId="77777777" w:rsidR="005F14DE" w:rsidRPr="00CC5713" w:rsidDel="00B8200D" w:rsidRDefault="005F14DE" w:rsidP="00005084">
            <w:pPr>
              <w:spacing w:after="0"/>
              <w:jc w:val="left"/>
              <w:rPr>
                <w:rFonts w:cs="Times New Roman"/>
                <w:sz w:val="22"/>
                <w:szCs w:val="24"/>
              </w:rPr>
            </w:pPr>
            <w:r w:rsidRPr="00CC5713">
              <w:rPr>
                <w:rFonts w:cs="Times New Roman"/>
                <w:sz w:val="22"/>
                <w:szCs w:val="24"/>
              </w:rPr>
              <w:t xml:space="preserve">pevná spodní hranice </w:t>
            </w:r>
            <w:r>
              <w:rPr>
                <w:rFonts w:cs="Times New Roman"/>
                <w:sz w:val="22"/>
                <w:szCs w:val="24"/>
              </w:rPr>
              <w:t>(podle toho, která částka je vyšší)</w:t>
            </w:r>
          </w:p>
        </w:tc>
        <w:tc>
          <w:tcPr>
            <w:tcW w:w="180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2335920" w14:textId="77777777" w:rsidR="005F14DE" w:rsidRPr="00CC5713" w:rsidDel="00B8200D" w:rsidRDefault="005F14DE" w:rsidP="00005084">
            <w:pPr>
              <w:spacing w:after="0"/>
              <w:jc w:val="left"/>
              <w:rPr>
                <w:rFonts w:cs="Times New Roman"/>
                <w:sz w:val="22"/>
                <w:szCs w:val="24"/>
              </w:rPr>
            </w:pPr>
            <w:r w:rsidRPr="00CC5713">
              <w:rPr>
                <w:rFonts w:cs="Times New Roman"/>
                <w:sz w:val="22"/>
                <w:szCs w:val="24"/>
              </w:rPr>
              <w:t>50 % z</w:t>
            </w:r>
            <w:r>
              <w:rPr>
                <w:rFonts w:cs="Times New Roman"/>
                <w:sz w:val="22"/>
                <w:szCs w:val="24"/>
              </w:rPr>
              <w:t> </w:t>
            </w:r>
            <w:r w:rsidRPr="00CC5713">
              <w:rPr>
                <w:rFonts w:cs="Times New Roman"/>
                <w:sz w:val="22"/>
                <w:szCs w:val="24"/>
              </w:rPr>
              <w:t>příjmu</w:t>
            </w:r>
            <w:r>
              <w:rPr>
                <w:rFonts w:cs="Times New Roman"/>
                <w:sz w:val="22"/>
                <w:szCs w:val="24"/>
              </w:rPr>
              <w:t xml:space="preserve"> nebo </w:t>
            </w:r>
            <w:r w:rsidRPr="00CC5713">
              <w:rPr>
                <w:rFonts w:cs="Times New Roman"/>
                <w:sz w:val="22"/>
                <w:szCs w:val="24"/>
              </w:rPr>
              <w:t xml:space="preserve">pevná spodní hranice </w:t>
            </w:r>
            <w:r>
              <w:rPr>
                <w:rFonts w:cs="Times New Roman"/>
                <w:sz w:val="22"/>
                <w:szCs w:val="24"/>
              </w:rPr>
              <w:t>(podle toho, která částka je vyšší)</w:t>
            </w:r>
          </w:p>
        </w:tc>
      </w:tr>
    </w:tbl>
    <w:p w14:paraId="5902D94A" w14:textId="77777777" w:rsidR="005F14DE" w:rsidRDefault="005F14DE" w:rsidP="005F14DE">
      <w:pPr>
        <w:rPr>
          <w:rFonts w:cs="Times New Roman"/>
          <w:b/>
          <w:szCs w:val="24"/>
        </w:rPr>
      </w:pPr>
    </w:p>
    <w:p w14:paraId="5D56D1A2" w14:textId="77777777" w:rsidR="005F14DE" w:rsidRDefault="005F14DE" w:rsidP="005F14DE">
      <w:pPr>
        <w:pStyle w:val="Nadpis1"/>
      </w:pPr>
      <w:r>
        <w:t>Postup použití tabulky</w:t>
      </w:r>
    </w:p>
    <w:p w14:paraId="66B52750" w14:textId="77777777" w:rsidR="005F14DE" w:rsidRDefault="005F14DE" w:rsidP="005F14DE">
      <w:r>
        <w:t>Při použití doporučující tabulky je třeba následovat 6 kroků:</w:t>
      </w:r>
    </w:p>
    <w:p w14:paraId="4EB224BE" w14:textId="77777777" w:rsidR="005F14DE" w:rsidRPr="00213B52" w:rsidRDefault="005F14DE" w:rsidP="005F14DE">
      <w:pPr>
        <w:pStyle w:val="Odstavecseseznamem"/>
        <w:numPr>
          <w:ilvl w:val="0"/>
          <w:numId w:val="3"/>
        </w:numPr>
        <w:shd w:val="clear" w:color="auto" w:fill="DEEAF6" w:themeFill="accent1" w:themeFillTint="33"/>
        <w:ind w:left="357" w:hanging="357"/>
        <w:contextualSpacing w:val="0"/>
        <w:rPr>
          <w:b/>
        </w:rPr>
      </w:pPr>
      <w:r w:rsidRPr="00213B52">
        <w:rPr>
          <w:b/>
        </w:rPr>
        <w:t>Určit čistý příjem povinného</w:t>
      </w:r>
    </w:p>
    <w:p w14:paraId="23387075" w14:textId="77777777" w:rsidR="005F14DE" w:rsidRPr="00213B52" w:rsidRDefault="005F14DE" w:rsidP="005F14DE">
      <w:pPr>
        <w:pStyle w:val="Odstavecseseznamem"/>
        <w:numPr>
          <w:ilvl w:val="0"/>
          <w:numId w:val="3"/>
        </w:numPr>
        <w:shd w:val="clear" w:color="auto" w:fill="DEEAF6" w:themeFill="accent1" w:themeFillTint="33"/>
        <w:ind w:left="357" w:hanging="357"/>
        <w:contextualSpacing w:val="0"/>
        <w:rPr>
          <w:b/>
        </w:rPr>
      </w:pPr>
      <w:r w:rsidRPr="00213B52">
        <w:rPr>
          <w:b/>
        </w:rPr>
        <w:t>Při</w:t>
      </w:r>
      <w:r>
        <w:rPr>
          <w:b/>
        </w:rPr>
        <w:t>ř</w:t>
      </w:r>
      <w:r w:rsidRPr="00213B52">
        <w:rPr>
          <w:b/>
        </w:rPr>
        <w:t>adit životní etapu dítěte</w:t>
      </w:r>
    </w:p>
    <w:p w14:paraId="473EED67" w14:textId="77777777" w:rsidR="005F14DE" w:rsidRPr="00213B52" w:rsidRDefault="005F14DE" w:rsidP="005F14DE">
      <w:pPr>
        <w:pStyle w:val="Odstavecseseznamem"/>
        <w:numPr>
          <w:ilvl w:val="0"/>
          <w:numId w:val="3"/>
        </w:numPr>
        <w:shd w:val="clear" w:color="auto" w:fill="DEEAF6" w:themeFill="accent1" w:themeFillTint="33"/>
        <w:ind w:left="357" w:hanging="357"/>
        <w:contextualSpacing w:val="0"/>
        <w:rPr>
          <w:b/>
        </w:rPr>
      </w:pPr>
      <w:r>
        <w:rPr>
          <w:b/>
        </w:rPr>
        <w:t>Zohlednit</w:t>
      </w:r>
      <w:r w:rsidRPr="00213B52">
        <w:rPr>
          <w:b/>
        </w:rPr>
        <w:t xml:space="preserve"> počet vyživovacích povinností </w:t>
      </w:r>
      <w:r>
        <w:rPr>
          <w:b/>
        </w:rPr>
        <w:t>rodiče</w:t>
      </w:r>
    </w:p>
    <w:p w14:paraId="54266B66" w14:textId="77777777" w:rsidR="005F14DE" w:rsidRPr="00213B52" w:rsidRDefault="005F14DE" w:rsidP="005F14DE">
      <w:pPr>
        <w:pStyle w:val="Odstavecseseznamem"/>
        <w:numPr>
          <w:ilvl w:val="0"/>
          <w:numId w:val="3"/>
        </w:numPr>
        <w:shd w:val="clear" w:color="auto" w:fill="DEEAF6" w:themeFill="accent1" w:themeFillTint="33"/>
        <w:ind w:left="357" w:hanging="357"/>
        <w:contextualSpacing w:val="0"/>
        <w:rPr>
          <w:b/>
        </w:rPr>
      </w:pPr>
      <w:r w:rsidRPr="00213B52">
        <w:rPr>
          <w:b/>
        </w:rPr>
        <w:t>Zohlednit míru péče a styku s</w:t>
      </w:r>
      <w:r>
        <w:rPr>
          <w:b/>
        </w:rPr>
        <w:t> </w:t>
      </w:r>
      <w:r w:rsidRPr="00213B52">
        <w:rPr>
          <w:b/>
        </w:rPr>
        <w:t>dítětem</w:t>
      </w:r>
    </w:p>
    <w:p w14:paraId="60F2FFDE" w14:textId="77777777" w:rsidR="005F14DE" w:rsidRDefault="005F14DE" w:rsidP="005F14DE">
      <w:pPr>
        <w:pStyle w:val="Odstavecseseznamem"/>
        <w:numPr>
          <w:ilvl w:val="0"/>
          <w:numId w:val="3"/>
        </w:numPr>
        <w:shd w:val="clear" w:color="auto" w:fill="DEEAF6" w:themeFill="accent1" w:themeFillTint="33"/>
        <w:ind w:left="357" w:hanging="357"/>
        <w:contextualSpacing w:val="0"/>
        <w:rPr>
          <w:b/>
        </w:rPr>
      </w:pPr>
      <w:r>
        <w:rPr>
          <w:b/>
        </w:rPr>
        <w:t xml:space="preserve">Zjistit tzv. kontrolní částku </w:t>
      </w:r>
    </w:p>
    <w:p w14:paraId="654EE35A" w14:textId="77777777" w:rsidR="005F14DE" w:rsidRPr="00213B52" w:rsidRDefault="005F14DE" w:rsidP="005F14DE">
      <w:pPr>
        <w:pStyle w:val="Odstavecseseznamem"/>
        <w:numPr>
          <w:ilvl w:val="0"/>
          <w:numId w:val="3"/>
        </w:numPr>
        <w:shd w:val="clear" w:color="auto" w:fill="DEEAF6" w:themeFill="accent1" w:themeFillTint="33"/>
        <w:ind w:left="357" w:hanging="357"/>
        <w:contextualSpacing w:val="0"/>
        <w:rPr>
          <w:b/>
        </w:rPr>
      </w:pPr>
      <w:r>
        <w:rPr>
          <w:b/>
        </w:rPr>
        <w:t>Případně k</w:t>
      </w:r>
      <w:r w:rsidRPr="00213B52">
        <w:rPr>
          <w:b/>
        </w:rPr>
        <w:t xml:space="preserve">origovat výsledek pomocí kontrolní </w:t>
      </w:r>
      <w:r>
        <w:rPr>
          <w:b/>
        </w:rPr>
        <w:t>částky</w:t>
      </w:r>
    </w:p>
    <w:p w14:paraId="7F1E3559" w14:textId="77777777" w:rsidR="00A5082C" w:rsidRDefault="00A5082C" w:rsidP="00A5082C">
      <w:pPr>
        <w:pStyle w:val="Nadpis2"/>
        <w:numPr>
          <w:ilvl w:val="0"/>
          <w:numId w:val="0"/>
        </w:numPr>
        <w:ind w:left="720"/>
      </w:pPr>
    </w:p>
    <w:p w14:paraId="1E74EFA1" w14:textId="6C727C7A" w:rsidR="005F14DE" w:rsidRPr="0046709C" w:rsidRDefault="005F14DE" w:rsidP="005F14DE">
      <w:pPr>
        <w:pStyle w:val="Nadpis2"/>
      </w:pPr>
      <w:r w:rsidRPr="0046709C">
        <w:t>Určení čistého příjmu</w:t>
      </w:r>
    </w:p>
    <w:p w14:paraId="0719B79A" w14:textId="77777777" w:rsidR="005F14DE" w:rsidRDefault="005F14DE" w:rsidP="005F14DE">
      <w:r w:rsidRPr="0046709C">
        <w:t>Prvním z</w:t>
      </w:r>
      <w:r>
        <w:t> </w:t>
      </w:r>
      <w:r w:rsidRPr="0046709C">
        <w:t>kroků</w:t>
      </w:r>
      <w:r>
        <w:t xml:space="preserve"> </w:t>
      </w:r>
      <w:r w:rsidRPr="0046709C">
        <w:t xml:space="preserve">je určení čistého příjmu rodiče, jehož vyživovací povinnost se </w:t>
      </w:r>
      <w:r>
        <w:t>chce</w:t>
      </w:r>
      <w:r w:rsidRPr="0046709C">
        <w:t xml:space="preserve"> vyčíslit. Pro souvislost lze jen upozornit, že vyživovací povinnost mají zásadně oba rodiče. Různit se však může její podoba, respektive způsob plnění (např. přímou péčí a zajišťováním potřeb malého dítěte) a její konkrétní výše.</w:t>
      </w:r>
    </w:p>
    <w:p w14:paraId="00A546B2" w14:textId="77777777" w:rsidR="005F14DE" w:rsidRPr="00DE32AA" w:rsidRDefault="005F14DE" w:rsidP="005F14DE"/>
    <w:p w14:paraId="5F95D388" w14:textId="77777777" w:rsidR="005F14DE" w:rsidRPr="00AE01DD" w:rsidRDefault="005F14DE" w:rsidP="005F14DE">
      <w:pPr>
        <w:rPr>
          <w:b/>
          <w:i/>
        </w:rPr>
      </w:pPr>
      <w:r w:rsidRPr="00AE01DD">
        <w:rPr>
          <w:b/>
          <w:i/>
        </w:rPr>
        <w:t xml:space="preserve">Zaměstnanci </w:t>
      </w:r>
    </w:p>
    <w:p w14:paraId="11E10371" w14:textId="5628FED7" w:rsidR="005F14DE" w:rsidRPr="00213C09" w:rsidRDefault="005F14DE" w:rsidP="005F14DE">
      <w:pPr>
        <w:rPr>
          <w:b/>
        </w:rPr>
      </w:pPr>
      <w:r w:rsidRPr="00AE01DD">
        <w:t>Čistým příjm</w:t>
      </w:r>
      <w:r w:rsidR="00593930">
        <w:t>em</w:t>
      </w:r>
      <w:r w:rsidRPr="0046709C">
        <w:t xml:space="preserve"> se </w:t>
      </w:r>
      <w:r>
        <w:t>při práci</w:t>
      </w:r>
      <w:r w:rsidRPr="0046709C">
        <w:t xml:space="preserve"> s tabulkou u zaměstnanců rozumí</w:t>
      </w:r>
      <w:r>
        <w:t xml:space="preserve"> čistá mzda, tj.</w:t>
      </w:r>
      <w:r w:rsidRPr="0046709C">
        <w:t xml:space="preserve"> hrubá mzda (plat) po odečtení zálohy na daň z příjmů fyzických osob</w:t>
      </w:r>
      <w:r>
        <w:rPr>
          <w:rStyle w:val="Znakapoznpodarou"/>
          <w:rFonts w:cs="Times New Roman"/>
          <w:szCs w:val="24"/>
        </w:rPr>
        <w:footnoteReference w:id="10"/>
      </w:r>
      <w:r w:rsidRPr="0046709C">
        <w:t xml:space="preserve">, pojistného na sociální zabezpečení, </w:t>
      </w:r>
      <w:r w:rsidRPr="0046709C">
        <w:lastRenderedPageBreak/>
        <w:t>příspěvku na státní politiku zaměstnanosti a pojistného na veřejné zdravotní pojištění.</w:t>
      </w:r>
      <w:r>
        <w:rPr>
          <w:rStyle w:val="Znakapoznpodarou"/>
          <w:rFonts w:cs="Times New Roman"/>
          <w:szCs w:val="24"/>
        </w:rPr>
        <w:footnoteReference w:id="11"/>
      </w:r>
      <w:r w:rsidRPr="0046709C">
        <w:t xml:space="preserve"> Do tohoto příjmu tedy spadají i příplatky za práci přesčas, o svátcích, ve ztíženém a zdraví škodlivém pracovním prostředí a v noci, osobní ohodnocení, prémie, odměny, odměna za</w:t>
      </w:r>
      <w:r>
        <w:t> </w:t>
      </w:r>
      <w:r w:rsidRPr="0046709C">
        <w:t xml:space="preserve">pracovní pohotovost. </w:t>
      </w:r>
    </w:p>
    <w:p w14:paraId="004DCEBC" w14:textId="77777777" w:rsidR="005F14DE" w:rsidRPr="0046709C" w:rsidRDefault="005F14DE" w:rsidP="005F14DE">
      <w:r w:rsidRPr="0046709C">
        <w:t>Dále je třeba zpravidla zahrnout také veškeré další příjmy, které povinnému mohou náležet z jiných zdrojů, jako jsou například výsluhy, příjmy z pronájmu, odměny z autorských práv a další zdanitelné příjmy. Taktéž se do příjmu započítávají vybrané sociální dávky</w:t>
      </w:r>
      <w:r>
        <w:rPr>
          <w:rStyle w:val="Znakapoznpodarou"/>
        </w:rPr>
        <w:footnoteReference w:id="12"/>
      </w:r>
      <w:r>
        <w:t>,</w:t>
      </w:r>
      <w:r w:rsidRPr="0046709C">
        <w:t xml:space="preserve"> například dávky nemocenského pojištění, peněžitá pomoc v mateřství, vyrovnávací příspěvek v</w:t>
      </w:r>
      <w:r>
        <w:t> </w:t>
      </w:r>
      <w:r w:rsidRPr="0046709C">
        <w:t>těhotenství a mateřství, rodičovský příspěvek, odměna placená pečující osobě z příspěvku na</w:t>
      </w:r>
      <w:r>
        <w:t> </w:t>
      </w:r>
      <w:r w:rsidRPr="0046709C">
        <w:t>péči, starobní, sirotčí, vdovský a vdovecký a invalidní důchod či odměna pěstouna a</w:t>
      </w:r>
      <w:r>
        <w:t> </w:t>
      </w:r>
      <w:r w:rsidRPr="0046709C">
        <w:t xml:space="preserve">příspěvek při pěstounské péči. </w:t>
      </w:r>
    </w:p>
    <w:p w14:paraId="4400BD1E" w14:textId="77777777" w:rsidR="005F14DE" w:rsidRDefault="005F14DE" w:rsidP="005F14DE">
      <w:r w:rsidRPr="0046709C">
        <w:t xml:space="preserve">Do čistého příjmu </w:t>
      </w:r>
      <w:r>
        <w:t>se při práci</w:t>
      </w:r>
      <w:r w:rsidRPr="0046709C">
        <w:t xml:space="preserve"> s</w:t>
      </w:r>
      <w:r>
        <w:t> </w:t>
      </w:r>
      <w:r w:rsidRPr="0046709C">
        <w:t>tabulkou</w:t>
      </w:r>
      <w:r>
        <w:t xml:space="preserve"> zpravidla</w:t>
      </w:r>
      <w:r w:rsidRPr="0046709C">
        <w:t xml:space="preserve"> </w:t>
      </w:r>
      <w:r>
        <w:t>ne</w:t>
      </w:r>
      <w:r w:rsidRPr="0046709C">
        <w:t>započítáva</w:t>
      </w:r>
      <w:r>
        <w:t>jí</w:t>
      </w:r>
      <w:r w:rsidRPr="0046709C">
        <w:t xml:space="preserve"> cestovní náhrady.</w:t>
      </w:r>
      <w:r>
        <w:rPr>
          <w:rStyle w:val="Znakapoznpodarou"/>
          <w:rFonts w:cs="Times New Roman"/>
          <w:szCs w:val="24"/>
        </w:rPr>
        <w:footnoteReference w:id="13"/>
      </w:r>
      <w:r>
        <w:t xml:space="preserve"> Skutečnost, zda cestovní náhrady do příjmu eventuálně započítat a v jaké míře, by měla být posuzována podle okolností případu, zejména s přihlédnutím k tomu, jak velkou část příjmu </w:t>
      </w:r>
      <w:proofErr w:type="gramStart"/>
      <w:r>
        <w:t>tvoří</w:t>
      </w:r>
      <w:proofErr w:type="gramEnd"/>
      <w:r>
        <w:t xml:space="preserve"> a v jakém rozsahu mohou být spotřebovány ke svému účelu.</w:t>
      </w:r>
    </w:p>
    <w:p w14:paraId="6B63F1ED" w14:textId="77777777" w:rsidR="005F14DE" w:rsidRDefault="005F14DE" w:rsidP="005F14DE">
      <w:r>
        <w:t>B</w:t>
      </w:r>
      <w:r w:rsidRPr="00732F3E">
        <w:t>ěhem roku mohou nastat různé výkyvy ve výši příjm</w:t>
      </w:r>
      <w:r>
        <w:t>ů</w:t>
      </w:r>
      <w:r w:rsidRPr="00732F3E">
        <w:t xml:space="preserve"> v jednotlivých měsících</w:t>
      </w:r>
      <w:r>
        <w:rPr>
          <w:rStyle w:val="Znakapoznpodarou"/>
          <w:rFonts w:cs="Times New Roman"/>
          <w:szCs w:val="24"/>
        </w:rPr>
        <w:footnoteReference w:id="14"/>
      </w:r>
      <w:r w:rsidRPr="00732F3E">
        <w:t xml:space="preserve">, </w:t>
      </w:r>
      <w:r>
        <w:t xml:space="preserve">a proto </w:t>
      </w:r>
      <w:r w:rsidRPr="00732F3E">
        <w:t>je třeba vyhodno</w:t>
      </w:r>
      <w:r>
        <w:t xml:space="preserve">covat </w:t>
      </w:r>
      <w:r w:rsidRPr="00732F3E">
        <w:t>období alespoň 12 předcházejících měsíců, nejlépe 18 měsíců,</w:t>
      </w:r>
      <w:r>
        <w:t xml:space="preserve"> a z nich provést průměr. S</w:t>
      </w:r>
      <w:r w:rsidRPr="00732F3E">
        <w:t xml:space="preserve">ečtou </w:t>
      </w:r>
      <w:r>
        <w:t xml:space="preserve">se tedy </w:t>
      </w:r>
      <w:r w:rsidRPr="00732F3E">
        <w:t xml:space="preserve">částky čistého příjmu za každý jednotlivý měsíc a následně se tato celková částka vydělí počtem měsíců. Se získaným průměrem se </w:t>
      </w:r>
      <w:r>
        <w:t>dále pracuje</w:t>
      </w:r>
      <w:r w:rsidRPr="00732F3E">
        <w:t xml:space="preserve">. </w:t>
      </w:r>
    </w:p>
    <w:p w14:paraId="74450B01" w14:textId="77777777" w:rsidR="005F14DE" w:rsidRDefault="005F14DE" w:rsidP="005F14DE"/>
    <w:p w14:paraId="17C41396" w14:textId="77777777" w:rsidR="005F14DE" w:rsidRPr="00AE01DD" w:rsidRDefault="005F14DE" w:rsidP="005F14DE">
      <w:pPr>
        <w:rPr>
          <w:b/>
          <w:i/>
        </w:rPr>
      </w:pPr>
      <w:r w:rsidRPr="00AE01DD">
        <w:rPr>
          <w:b/>
          <w:i/>
        </w:rPr>
        <w:t>Podnikatelé</w:t>
      </w:r>
    </w:p>
    <w:p w14:paraId="58301C76" w14:textId="77777777" w:rsidR="005F14DE" w:rsidRDefault="005F14DE" w:rsidP="005F14DE">
      <w:r>
        <w:t>V případě osob samostatně výdělečně činných je situace specifická. Je vhodné podotknout, že hrubý fakturovaný příjem, tedy obrat, nelze ztotožňovat s příjmem osoby. Tabulku lze v těchto případech přiměřeně použít pouze za předpokladu, že je možné z dostupných podkladů alespoň rámcově určit průměrný čistý měsíční příjem takové osoby.</w:t>
      </w:r>
    </w:p>
    <w:p w14:paraId="48C0B2D5" w14:textId="77777777" w:rsidR="005F14DE" w:rsidRPr="00E60657" w:rsidRDefault="005F14DE" w:rsidP="005F14DE"/>
    <w:p w14:paraId="239978A9" w14:textId="77777777" w:rsidR="005F14DE" w:rsidRDefault="005F14DE" w:rsidP="005F14DE">
      <w:pPr>
        <w:pStyle w:val="Nadpis2"/>
      </w:pPr>
      <w:r>
        <w:t xml:space="preserve">Životní etapa dítěte </w:t>
      </w:r>
    </w:p>
    <w:p w14:paraId="51B6B8B8" w14:textId="77777777" w:rsidR="005F14DE" w:rsidRDefault="005F14DE" w:rsidP="005F14DE">
      <w:r w:rsidRPr="0046709C">
        <w:t>Dalším krokem je zařazení dítěte do příslušné životní etapy</w:t>
      </w:r>
      <w:r>
        <w:t xml:space="preserve"> (tj. příslušného řádku v tabulce)</w:t>
      </w:r>
      <w:r w:rsidRPr="0046709C">
        <w:t xml:space="preserve">. Ta je dána primárně stupněm vzdělávání. Věk dítěte je </w:t>
      </w:r>
      <w:r>
        <w:t>pouze orientační. P</w:t>
      </w:r>
      <w:r w:rsidRPr="0046709C">
        <w:t xml:space="preserve">okud například </w:t>
      </w:r>
      <w:r w:rsidRPr="0046709C">
        <w:lastRenderedPageBreak/>
        <w:t xml:space="preserve">sedmileté dítě chodí do předškolního zařízení, neboť využilo možnosti odkladu školní docházky, </w:t>
      </w:r>
      <w:r>
        <w:t>spadá</w:t>
      </w:r>
      <w:r w:rsidRPr="0046709C">
        <w:t xml:space="preserve"> do </w:t>
      </w:r>
      <w:r>
        <w:t>1.</w:t>
      </w:r>
      <w:r w:rsidRPr="0046709C">
        <w:t xml:space="preserve"> životní etapy. </w:t>
      </w:r>
    </w:p>
    <w:p w14:paraId="69D95610" w14:textId="77777777" w:rsidR="005F14DE" w:rsidRDefault="005F14DE" w:rsidP="005F14DE"/>
    <w:p w14:paraId="51C7A13E" w14:textId="77777777" w:rsidR="005F14DE" w:rsidRDefault="005F14DE" w:rsidP="005F14DE">
      <w:pPr>
        <w:pStyle w:val="Nadpis2"/>
      </w:pPr>
      <w:r w:rsidRPr="00756BBC">
        <w:t>Počet vyživovacích povinností rodiče</w:t>
      </w:r>
      <w:r>
        <w:t xml:space="preserve"> </w:t>
      </w:r>
    </w:p>
    <w:p w14:paraId="7281A3E8" w14:textId="23E78C60" w:rsidR="005F14DE" w:rsidRDefault="005F14DE" w:rsidP="005F14DE">
      <w:r>
        <w:t>D</w:t>
      </w:r>
      <w:r w:rsidRPr="00FF076A">
        <w:t xml:space="preserve">ále </w:t>
      </w:r>
      <w:r>
        <w:t>je n</w:t>
      </w:r>
      <w:r w:rsidRPr="00FF076A">
        <w:t>ezbytné zohlednit počet vyživovacích povi</w:t>
      </w:r>
      <w:r>
        <w:t xml:space="preserve">nností rodiče vůči všem jeho </w:t>
      </w:r>
      <w:r w:rsidRPr="00FF076A">
        <w:t>dětem</w:t>
      </w:r>
      <w:r w:rsidR="004043A1">
        <w:t xml:space="preserve"> (</w:t>
      </w:r>
      <w:bookmarkStart w:id="1" w:name="_Hlk108458346"/>
      <w:r w:rsidR="008F5AF5">
        <w:t>bez ohledu na to, zda a v jakém rozsahu o ně případně pečuje či s nimi žije ve společné domácnost</w:t>
      </w:r>
      <w:bookmarkEnd w:id="1"/>
      <w:r w:rsidR="008F5AF5">
        <w:t>i</w:t>
      </w:r>
      <w:r w:rsidR="004043A1">
        <w:t>)</w:t>
      </w:r>
      <w:r w:rsidRPr="00FF076A">
        <w:t xml:space="preserve">. </w:t>
      </w:r>
      <w:r>
        <w:t>To znamená, že se stanoví, kolik má rodič dětí, vůči kterým stále má vyživovací povinnost (ta obecně</w:t>
      </w:r>
      <w:r w:rsidRPr="00DD49B1">
        <w:t xml:space="preserve"> trvá, dokud </w:t>
      </w:r>
      <w:r>
        <w:t>není dítě schopné</w:t>
      </w:r>
      <w:r w:rsidRPr="00DD49B1">
        <w:t xml:space="preserve"> se samostatně živit</w:t>
      </w:r>
      <w:r>
        <w:t>)</w:t>
      </w:r>
      <w:r w:rsidRPr="00DD49B1">
        <w:t>.</w:t>
      </w:r>
      <w:r>
        <w:t xml:space="preserve"> Započítává se i dítě, </w:t>
      </w:r>
      <w:r>
        <w:rPr>
          <w:rFonts w:cs="Times New Roman"/>
        </w:rPr>
        <w:t xml:space="preserve">jehož výživné se vyčísluje. </w:t>
      </w:r>
      <w:r>
        <w:t xml:space="preserve">Případné vyživovací povinnosti vůči jiným příbuzným osobám se nezohledňují. </w:t>
      </w:r>
    </w:p>
    <w:p w14:paraId="7279FA0F" w14:textId="77777777" w:rsidR="005F14DE" w:rsidRDefault="005F14DE" w:rsidP="005F14DE">
      <w:pPr>
        <w:shd w:val="clear" w:color="auto" w:fill="DEEAF6" w:themeFill="accent1" w:themeFillTint="33"/>
      </w:pPr>
      <w:r>
        <w:t xml:space="preserve">Nyní se mohou protnout příslušný řádek životní etapy dítěte s příslušný sloupcem počtu vyživovacích povinností. Protnutím těchto hledisek v tabulce dojde k určení podílu z průměrného čistého měsíčního příjmu vyjádřeného v procentech. </w:t>
      </w:r>
    </w:p>
    <w:p w14:paraId="4C7AF82D" w14:textId="77777777" w:rsidR="005F14DE" w:rsidRDefault="005F14DE" w:rsidP="005F14DE">
      <w:pPr>
        <w:shd w:val="clear" w:color="auto" w:fill="DEEAF6" w:themeFill="accent1" w:themeFillTint="33"/>
      </w:pPr>
      <w:r w:rsidRPr="0017411C">
        <w:t xml:space="preserve">Uplynuly-li od předchozího určení výživného více jak </w:t>
      </w:r>
      <w:r>
        <w:t>3</w:t>
      </w:r>
      <w:r w:rsidRPr="0017411C">
        <w:t xml:space="preserve"> roky, ale dítě zůstává ve stejné životní etapě, je vhodné hodnotu podí</w:t>
      </w:r>
      <w:r>
        <w:t>lu z příjmu navýšit o 1 %.</w:t>
      </w:r>
    </w:p>
    <w:p w14:paraId="248FB163" w14:textId="77777777" w:rsidR="005F14DE" w:rsidRDefault="005F14DE" w:rsidP="005F14DE">
      <w:pPr>
        <w:shd w:val="clear" w:color="auto" w:fill="DEEAF6" w:themeFill="accent1" w:themeFillTint="33"/>
      </w:pPr>
      <w:r>
        <w:t>Následně se hodnota podílu z příjmu (v %) vynásobí s hodnotou průměrného čistého měsíčního příjmu vyděleného 100. Tím se získá předběžná částka výživného, se kterou se dále pracuje.</w:t>
      </w:r>
    </w:p>
    <w:p w14:paraId="3794F10A" w14:textId="5862A8AF" w:rsidR="005F14DE" w:rsidRPr="005F14DE" w:rsidRDefault="005F14DE" w:rsidP="005F14DE">
      <w:pPr>
        <w:shd w:val="clear" w:color="auto" w:fill="DEEAF6" w:themeFill="accent1" w:themeFillTint="33"/>
        <w:jc w:val="center"/>
        <w:rPr>
          <w:rFonts w:eastAsiaTheme="minorEastAsia" w:cs="Times New Roman"/>
        </w:rPr>
      </w:pPr>
      <m:oMath>
        <m:r>
          <m:rPr>
            <m:sty m:val="p"/>
          </m:rPr>
          <w:rPr>
            <w:rFonts w:ascii="Cambria Math" w:hAnsi="Cambria Math" w:cs="Times New Roman"/>
          </w:rPr>
          <m:t>podíl z příj</m:t>
        </m:r>
        <m:r>
          <m:rPr>
            <m:sty m:val="p"/>
          </m:rPr>
          <w:rPr>
            <w:rFonts w:ascii="Cambria Math" w:eastAsiaTheme="minorEastAsia" w:hAnsi="Cambria Math" w:cs="Times New Roman"/>
          </w:rPr>
          <m:t xml:space="preserve">mu </m:t>
        </m:r>
        <m:d>
          <m:dPr>
            <m:ctrlPr>
              <w:rPr>
                <w:rFonts w:ascii="Cambria Math" w:eastAsiaTheme="minorEastAsia" w:hAnsi="Cambria Math" w:cs="Times New Roman"/>
              </w:rPr>
            </m:ctrlPr>
          </m:dPr>
          <m:e>
            <m:r>
              <m:rPr>
                <m:sty m:val="p"/>
              </m:rPr>
              <w:rPr>
                <w:rFonts w:ascii="Cambria Math" w:eastAsiaTheme="minorEastAsia" w:hAnsi="Cambria Math" w:cs="Times New Roman"/>
              </w:rPr>
              <m:t>v %</m:t>
            </m:r>
          </m:e>
        </m:d>
        <m:r>
          <m:rPr>
            <m:sty m:val="p"/>
          </m:rPr>
          <w:rPr>
            <w:rFonts w:ascii="Cambria Math" w:eastAsiaTheme="minorEastAsia" w:hAnsi="Cambria Math" w:cs="Times New Roman"/>
          </w:rPr>
          <m:t xml:space="preserve"> x </m:t>
        </m:r>
        <m:f>
          <m:fPr>
            <m:ctrlPr>
              <w:rPr>
                <w:rFonts w:ascii="Cambria Math" w:hAnsi="Cambria Math" w:cs="Times New Roman"/>
              </w:rPr>
            </m:ctrlPr>
          </m:fPr>
          <m:num>
            <m:r>
              <m:rPr>
                <m:sty m:val="p"/>
              </m:rPr>
              <w:rPr>
                <w:rFonts w:ascii="Cambria Math" w:hAnsi="Cambria Math" w:cs="Times New Roman"/>
              </w:rPr>
              <m:t xml:space="preserve">příjem </m:t>
            </m:r>
          </m:num>
          <m:den>
            <m:r>
              <m:rPr>
                <m:sty m:val="p"/>
              </m:rPr>
              <w:rPr>
                <w:rFonts w:ascii="Cambria Math" w:hAnsi="Cambria Math" w:cs="Times New Roman"/>
              </w:rPr>
              <m:t>100</m:t>
            </m:r>
          </m:den>
        </m:f>
        <m:r>
          <m:rPr>
            <m:sty m:val="p"/>
          </m:rPr>
          <w:rPr>
            <w:rFonts w:ascii="Cambria Math" w:hAnsi="Cambria Math" w:cs="Times New Roman"/>
          </w:rPr>
          <m:t xml:space="preserve"> </m:t>
        </m:r>
      </m:oMath>
      <w:r w:rsidRPr="005F14DE">
        <w:rPr>
          <w:rFonts w:eastAsiaTheme="minorEastAsia" w:cs="Times New Roman"/>
        </w:rPr>
        <w:t xml:space="preserve"> = </w:t>
      </w:r>
      <m:oMath>
        <m:r>
          <m:rPr>
            <m:sty m:val="p"/>
          </m:rPr>
          <w:rPr>
            <w:rFonts w:ascii="Cambria Math" w:hAnsi="Cambria Math" w:cs="Times New Roman"/>
          </w:rPr>
          <m:t>předběžná částka výživného</m:t>
        </m:r>
      </m:oMath>
    </w:p>
    <w:p w14:paraId="67EFF0CF" w14:textId="77777777" w:rsidR="005F14DE" w:rsidRPr="00620C83" w:rsidRDefault="005F14DE" w:rsidP="005F14DE"/>
    <w:p w14:paraId="7AF62FC7" w14:textId="77777777" w:rsidR="005F14DE" w:rsidRPr="003345AA" w:rsidRDefault="005F14DE" w:rsidP="005F14DE">
      <w:pPr>
        <w:pStyle w:val="Nadpis2"/>
      </w:pPr>
      <w:r w:rsidRPr="003345AA">
        <w:t>Míra péče a styku s dítětem</w:t>
      </w:r>
    </w:p>
    <w:p w14:paraId="5193EBCA" w14:textId="4E384253" w:rsidR="005F14DE" w:rsidRPr="00DE4898" w:rsidRDefault="005F14DE" w:rsidP="005F14DE">
      <w:pPr>
        <w:rPr>
          <w:rFonts w:cs="Times New Roman"/>
          <w:szCs w:val="24"/>
        </w:rPr>
      </w:pPr>
      <w:r>
        <w:t>Poté je třeba zohlednit</w:t>
      </w:r>
      <w:r w:rsidRPr="00213B52">
        <w:t xml:space="preserve"> i </w:t>
      </w:r>
      <w:r>
        <w:t>míru</w:t>
      </w:r>
      <w:r w:rsidRPr="00213B52">
        <w:t xml:space="preserve"> péče o dítě, respektive i styk s ním. Rozhodující by </w:t>
      </w:r>
      <w:r>
        <w:t>přitom</w:t>
      </w:r>
      <w:r w:rsidRPr="00213B52">
        <w:t xml:space="preserve"> nemělo být označení typu péče uvedené v rámci soudního rozhodnutí, ale spíše to, v jaké míře se rodič, jehož vyživovací povinnost je řešena, o dítě reálně stará a obstarává jeho obvyklé potřeby. </w:t>
      </w:r>
      <w:r>
        <w:t>S</w:t>
      </w:r>
      <w:r w:rsidRPr="003345AA">
        <w:t xml:space="preserve"> vyšší mírou faktického zapojení rodiče se jím poskytovaná částka výživného snižuje. </w:t>
      </w:r>
      <w:r w:rsidR="003B6DBC">
        <w:t xml:space="preserve">Jak již bylo přitom uvedeno výše, vyživovací povinnost mají oba rodiče, </w:t>
      </w:r>
      <w:r w:rsidR="00835CB6">
        <w:t xml:space="preserve">rozsah a formu jejich zapojení do obstarávání obvyklých potřeb dítěte je proto vhodné vyjasnit </w:t>
      </w:r>
      <w:r w:rsidR="00D02096">
        <w:t xml:space="preserve">materiálně </w:t>
      </w:r>
      <w:r w:rsidR="00835CB6">
        <w:t>u každého z</w:t>
      </w:r>
      <w:r w:rsidR="003F284B">
        <w:t> </w:t>
      </w:r>
      <w:r w:rsidR="00835CB6">
        <w:t>nich</w:t>
      </w:r>
      <w:r w:rsidR="00616486">
        <w:t>, a</w:t>
      </w:r>
      <w:r w:rsidR="00B32BF8">
        <w:t> </w:t>
      </w:r>
      <w:r w:rsidR="00616486">
        <w:t xml:space="preserve">to opět bez ohledu na </w:t>
      </w:r>
      <w:r w:rsidR="00D02096">
        <w:t xml:space="preserve">formální </w:t>
      </w:r>
      <w:r w:rsidR="002800A9">
        <w:t>označení</w:t>
      </w:r>
      <w:r w:rsidR="00702DB1">
        <w:t xml:space="preserve"> typu</w:t>
      </w:r>
      <w:r w:rsidR="002800A9">
        <w:t xml:space="preserve"> péče a rozsah styku.</w:t>
      </w:r>
      <w:r w:rsidR="00835CB6">
        <w:t xml:space="preserve"> </w:t>
      </w:r>
      <w:r w:rsidR="00CC67CA">
        <w:t>Provádí-li se konkrétní výpočet výše výživného u obou rodičů, což je relevantní zejména v případě střídavé péče a</w:t>
      </w:r>
      <w:r w:rsidR="00066A5A">
        <w:t> </w:t>
      </w:r>
      <w:r w:rsidR="00CC67CA">
        <w:t xml:space="preserve">výlučné péče jednoho z rodičů s rozšířeným stykem druhého </w:t>
      </w:r>
      <w:r w:rsidR="00DE4898">
        <w:t xml:space="preserve">z rodičů, </w:t>
      </w:r>
      <w:r w:rsidR="00DE4898">
        <w:rPr>
          <w:rFonts w:cs="Times New Roman"/>
          <w:szCs w:val="24"/>
        </w:rPr>
        <w:t>lze po provedení tohoto výpočtu se zohledněním rozsahu zapojení každého z rodičů zvážit v rámci mimosoudní dohody určité zjednodušení. Podle něj by</w:t>
      </w:r>
      <w:r w:rsidR="00D65098">
        <w:rPr>
          <w:rFonts w:cs="Times New Roman"/>
          <w:szCs w:val="24"/>
        </w:rPr>
        <w:t xml:space="preserve"> pro účely faktické realizace mohl být určen </w:t>
      </w:r>
      <w:r w:rsidR="00DE4898">
        <w:rPr>
          <w:rFonts w:cs="Times New Roman"/>
          <w:szCs w:val="24"/>
        </w:rPr>
        <w:t>pouze rozdíl mezi částkami výživného vyčíslen</w:t>
      </w:r>
      <w:r w:rsidR="00305D46">
        <w:rPr>
          <w:rFonts w:cs="Times New Roman"/>
          <w:szCs w:val="24"/>
        </w:rPr>
        <w:t>ými</w:t>
      </w:r>
      <w:r w:rsidR="00DE4898">
        <w:rPr>
          <w:rFonts w:cs="Times New Roman"/>
          <w:szCs w:val="24"/>
        </w:rPr>
        <w:t xml:space="preserve"> pro jednotlivé rodiče, a nemuselo tak docházet k permanentnímu přesunu totožných částek.</w:t>
      </w:r>
    </w:p>
    <w:p w14:paraId="32C98005" w14:textId="77777777" w:rsidR="005F14DE" w:rsidRDefault="005F14DE" w:rsidP="005F14DE">
      <w:r w:rsidRPr="00213B52">
        <w:t xml:space="preserve">Jako pomocné hledisko pro určení míry zapojení </w:t>
      </w:r>
      <w:r>
        <w:t>lze využít p</w:t>
      </w:r>
      <w:r w:rsidRPr="00213B52">
        <w:t>oč</w:t>
      </w:r>
      <w:r>
        <w:t>et</w:t>
      </w:r>
      <w:r w:rsidRPr="00213B52">
        <w:t xml:space="preserve"> dní v měsíci, které dítě tráví s rodičem, jehož vyživovací povinnost je řešena. </w:t>
      </w:r>
      <w:r>
        <w:rPr>
          <w:rFonts w:cs="Times New Roman"/>
        </w:rPr>
        <w:t xml:space="preserve">Nejsou-li </w:t>
      </w:r>
      <w:r w:rsidRPr="00A80CBF">
        <w:rPr>
          <w:rFonts w:cs="Times New Roman"/>
        </w:rPr>
        <w:t>v průběhu roku</w:t>
      </w:r>
      <w:r>
        <w:rPr>
          <w:rFonts w:cs="Times New Roman"/>
        </w:rPr>
        <w:t xml:space="preserve"> či jinak vymezeného období</w:t>
      </w:r>
      <w:r w:rsidRPr="00A80CBF">
        <w:rPr>
          <w:rFonts w:cs="Times New Roman"/>
        </w:rPr>
        <w:t xml:space="preserve"> </w:t>
      </w:r>
      <w:r>
        <w:rPr>
          <w:rFonts w:cs="Times New Roman"/>
        </w:rPr>
        <w:t xml:space="preserve">dny </w:t>
      </w:r>
      <w:r w:rsidRPr="00A80CBF">
        <w:rPr>
          <w:rFonts w:cs="Times New Roman"/>
        </w:rPr>
        <w:t>rovnoměrně rozděleny</w:t>
      </w:r>
      <w:r>
        <w:rPr>
          <w:rFonts w:cs="Times New Roman"/>
        </w:rPr>
        <w:t>, lze</w:t>
      </w:r>
      <w:r w:rsidRPr="00A80CBF">
        <w:rPr>
          <w:rFonts w:cs="Times New Roman"/>
        </w:rPr>
        <w:t xml:space="preserve"> </w:t>
      </w:r>
      <w:r>
        <w:rPr>
          <w:rFonts w:cs="Times New Roman"/>
        </w:rPr>
        <w:t xml:space="preserve">pracovat s </w:t>
      </w:r>
      <w:r w:rsidRPr="00A80CBF">
        <w:rPr>
          <w:rFonts w:cs="Times New Roman"/>
        </w:rPr>
        <w:t>průměrný</w:t>
      </w:r>
      <w:r>
        <w:rPr>
          <w:rFonts w:cs="Times New Roman"/>
        </w:rPr>
        <w:t>m měsíčním</w:t>
      </w:r>
      <w:r w:rsidRPr="00A80CBF">
        <w:rPr>
          <w:rFonts w:cs="Times New Roman"/>
        </w:rPr>
        <w:t xml:space="preserve"> počte</w:t>
      </w:r>
      <w:r>
        <w:rPr>
          <w:rFonts w:cs="Times New Roman"/>
        </w:rPr>
        <w:t>m</w:t>
      </w:r>
      <w:r w:rsidRPr="00A80CBF">
        <w:rPr>
          <w:rFonts w:cs="Times New Roman"/>
        </w:rPr>
        <w:t xml:space="preserve"> dní.</w:t>
      </w:r>
    </w:p>
    <w:p w14:paraId="77411F46" w14:textId="77777777" w:rsidR="005F14DE" w:rsidRDefault="005F14DE" w:rsidP="005F14DE">
      <w:r w:rsidRPr="00213B52">
        <w:t xml:space="preserve">Započítáno by mělo být zejména takové zapojení rodiče v rámci péče a styku, které je spojeno typicky s celodenním pobytem dítěte u tohoto rodiče (včetně noci) a také s pravidelnou úhradou jeho obvyklých potřeb při péči a styku (například odívání, platby ve škole za stravování a pravidelné školní a zájmové aktivity), nikoli pouze příležitostná vydání (například dárky, návštěvy kulturních zařízení). </w:t>
      </w:r>
    </w:p>
    <w:p w14:paraId="1859AA02" w14:textId="77777777" w:rsidR="005F14DE" w:rsidRDefault="005F14DE" w:rsidP="005F14DE">
      <w:r>
        <w:lastRenderedPageBreak/>
        <w:t>Rozsah zapojení z</w:t>
      </w:r>
      <w:r w:rsidRPr="00213B52">
        <w:t>pravidla nebude</w:t>
      </w:r>
      <w:r>
        <w:t xml:space="preserve"> nijak</w:t>
      </w:r>
      <w:r w:rsidRPr="00213B52">
        <w:t xml:space="preserve"> </w:t>
      </w:r>
      <w:r>
        <w:t>zohledňován za</w:t>
      </w:r>
      <w:r w:rsidRPr="00213B52">
        <w:t xml:space="preserve"> situace, kdy je rodiči</w:t>
      </w:r>
      <w:r>
        <w:t>, který nemá dítě v péči,</w:t>
      </w:r>
      <w:r w:rsidRPr="00213B52">
        <w:t xml:space="preserve"> určen styk s dítětem ve zcela minimálním rozsahu (např. 3 dny v měsíci). Započítáván by zpravidla neměl být ani relativně široce nastavený styk, pokud všechny obvyklé potřeby i</w:t>
      </w:r>
      <w:r>
        <w:t> </w:t>
      </w:r>
      <w:r w:rsidRPr="00213B52">
        <w:t>nadále zajišťuje rodič</w:t>
      </w:r>
      <w:r>
        <w:t>, který má dítě v péči</w:t>
      </w:r>
      <w:r w:rsidRPr="00213B52">
        <w:t>. Měla by být respektována konkrétní životní situac</w:t>
      </w:r>
      <w:r>
        <w:t>e</w:t>
      </w:r>
      <w:r w:rsidRPr="00213B52">
        <w:t xml:space="preserve"> rodiče a dítěte i důvody, pro které byl zvolen určitý model péče o dítě (např. vzhledem k nízkému věku dítěte či jeho zdravotnímu stavu volba jiného než celodenního pobytu apod.). </w:t>
      </w:r>
    </w:p>
    <w:p w14:paraId="42DBBFA8" w14:textId="4050F024" w:rsidR="005F14DE" w:rsidRPr="003345AA" w:rsidRDefault="005F14DE" w:rsidP="005F14DE">
      <w:r>
        <w:t>Zohledňování míry péče a styku</w:t>
      </w:r>
      <w:r w:rsidRPr="00213B52">
        <w:t xml:space="preserve"> </w:t>
      </w:r>
      <w:r>
        <w:t>nemůže představovat pouze</w:t>
      </w:r>
      <w:r w:rsidRPr="00213B52">
        <w:t xml:space="preserve"> mechanický propočet dnů strávených s rodičem, jehož vyživovací povinnost je řešena. </w:t>
      </w:r>
      <w:r>
        <w:t>Pokud bude zjištěno, že počet dní strávených s rodičem neodpovídá ani rámcově míře, v jaké se tento rodič reálně podílí na obstarávání obvyklých potřeb dítěte, neměl by se propočet podle počtu dnů vůbec použít. V takovém případě by se spíše mělo přihlédnout k reálnému podílu rodiče na obstarávání obvyklých potřeb dítěte.</w:t>
      </w:r>
    </w:p>
    <w:p w14:paraId="208A7352" w14:textId="6F4C5416" w:rsidR="005F14DE" w:rsidRDefault="005F14DE" w:rsidP="005F14DE">
      <w:pPr>
        <w:shd w:val="clear" w:color="auto" w:fill="DEEAF6" w:themeFill="accent1" w:themeFillTint="33"/>
        <w:rPr>
          <w:rFonts w:cs="Times New Roman"/>
          <w:szCs w:val="24"/>
        </w:rPr>
      </w:pPr>
      <w:bookmarkStart w:id="2" w:name="_Hlk100748387"/>
      <w:r>
        <w:t>P</w:t>
      </w:r>
      <w:r>
        <w:rPr>
          <w:iCs/>
        </w:rPr>
        <w:t>odíl</w:t>
      </w:r>
      <w:r w:rsidRPr="00E93B2A">
        <w:rPr>
          <w:iCs/>
        </w:rPr>
        <w:t xml:space="preserve"> péče</w:t>
      </w:r>
      <w:r w:rsidRPr="00E93B2A">
        <w:t xml:space="preserve"> </w:t>
      </w:r>
      <w:r>
        <w:t xml:space="preserve">povinného rodiče </w:t>
      </w:r>
      <w:r w:rsidRPr="00E93B2A">
        <w:t xml:space="preserve">se </w:t>
      </w:r>
      <w:proofErr w:type="gramStart"/>
      <w:r>
        <w:t>určí</w:t>
      </w:r>
      <w:proofErr w:type="gramEnd"/>
      <w:r>
        <w:t xml:space="preserve"> tak</w:t>
      </w:r>
      <w:r w:rsidRPr="00E93B2A">
        <w:t xml:space="preserve">, </w:t>
      </w:r>
      <w:r>
        <w:t xml:space="preserve">že se počet dnů, </w:t>
      </w:r>
      <w:r w:rsidRPr="00E93B2A">
        <w:t xml:space="preserve">které </w:t>
      </w:r>
      <w:r>
        <w:t>s ním dítě tráví, pokud odpovídá reálnému podílu povinného rodiče na úhradě obvyklých potřeb dítěte, vydělí číslem 30,4,</w:t>
      </w:r>
      <w:r w:rsidRPr="003345AA">
        <w:rPr>
          <w:rStyle w:val="Znakapoznpodarou"/>
          <w:rFonts w:cs="Times New Roman"/>
          <w:szCs w:val="24"/>
        </w:rPr>
        <w:footnoteReference w:id="15"/>
      </w:r>
      <w:r>
        <w:t xml:space="preserve"> přičemž počet těchto dnů lze vyjádřit maximálně hodnotou 30,4.</w:t>
      </w:r>
      <w:r w:rsidRPr="0000540B">
        <w:rPr>
          <w:rFonts w:cs="Times New Roman"/>
          <w:szCs w:val="24"/>
        </w:rPr>
        <w:t xml:space="preserve"> </w:t>
      </w:r>
      <w:r>
        <w:rPr>
          <w:rFonts w:cs="Times New Roman"/>
          <w:szCs w:val="24"/>
        </w:rPr>
        <w:t>V</w:t>
      </w:r>
      <w:bookmarkEnd w:id="2"/>
      <w:r>
        <w:rPr>
          <w:rFonts w:cs="Times New Roman"/>
          <w:szCs w:val="24"/>
        </w:rPr>
        <w:t>ýsledek (podíl péče) se následně odečte od hodnoty 1. Získanou hodnotou se vynásobí předběžná částka výživného, čímž se získá částka výživného v závislosti na péči.</w:t>
      </w:r>
    </w:p>
    <w:p w14:paraId="7A76E3F5" w14:textId="77777777" w:rsidR="005F14DE" w:rsidRPr="00610D50" w:rsidRDefault="009563F3" w:rsidP="005F14DE">
      <w:pPr>
        <w:shd w:val="clear" w:color="auto" w:fill="DEEAF6" w:themeFill="accent1" w:themeFillTint="33"/>
        <w:rPr>
          <w:rFonts w:eastAsiaTheme="minorEastAsia" w:cs="Times New Roman"/>
          <w:szCs w:val="24"/>
        </w:rPr>
      </w:pPr>
      <m:oMathPara>
        <m:oMath>
          <m:f>
            <m:fPr>
              <m:ctrlPr>
                <w:rPr>
                  <w:rFonts w:ascii="Cambria Math" w:hAnsi="Cambria Math" w:cs="Times New Roman"/>
                  <w:szCs w:val="24"/>
                </w:rPr>
              </m:ctrlPr>
            </m:fPr>
            <m:num>
              <m:r>
                <m:rPr>
                  <m:sty m:val="p"/>
                </m:rPr>
                <w:rPr>
                  <w:rFonts w:ascii="Cambria Math" w:hAnsi="Cambria Math" w:cs="Cambria Math"/>
                  <w:szCs w:val="24"/>
                </w:rPr>
                <m:t xml:space="preserve">počet dní v měsíci s povinným rodičem (max. 30,4) </m:t>
              </m:r>
            </m:num>
            <m:den>
              <m:r>
                <m:rPr>
                  <m:sty m:val="p"/>
                </m:rPr>
                <w:rPr>
                  <w:rFonts w:ascii="Cambria Math" w:hAnsi="Cambria Math" w:cs="Cambria Math"/>
                  <w:szCs w:val="24"/>
                </w:rPr>
                <m:t>30,4</m:t>
              </m:r>
            </m:den>
          </m:f>
          <m:r>
            <m:rPr>
              <m:sty m:val="p"/>
            </m:rPr>
            <w:rPr>
              <w:rFonts w:ascii="Cambria Math" w:hAnsi="Cambria Math" w:cs="Cambria Math"/>
              <w:szCs w:val="24"/>
            </w:rPr>
            <m:t>=podíl péče</m:t>
          </m:r>
          <m:r>
            <m:rPr>
              <m:sty m:val="p"/>
            </m:rPr>
            <w:rPr>
              <w:rFonts w:ascii="Cambria Math" w:hAnsi="Cambria Math" w:cs="Times New Roman"/>
              <w:szCs w:val="24"/>
            </w:rPr>
            <m:t xml:space="preserve"> </m:t>
          </m:r>
        </m:oMath>
      </m:oMathPara>
    </w:p>
    <w:p w14:paraId="3E141FAC" w14:textId="77777777" w:rsidR="005F14DE" w:rsidRPr="0048417F" w:rsidRDefault="009563F3" w:rsidP="005F14DE">
      <w:pPr>
        <w:shd w:val="clear" w:color="auto" w:fill="DEEAF6" w:themeFill="accent1" w:themeFillTint="33"/>
        <w:spacing w:after="120"/>
        <w:rPr>
          <w:rFonts w:eastAsiaTheme="minorEastAsia" w:cs="Times New Roman"/>
          <w:szCs w:val="24"/>
        </w:rPr>
      </w:pPr>
      <m:oMathPara>
        <m:oMath>
          <m:d>
            <m:dPr>
              <m:ctrlPr>
                <w:rPr>
                  <w:rFonts w:ascii="Cambria Math" w:hAnsi="Cambria Math" w:cs="Cambria Math"/>
                  <w:szCs w:val="24"/>
                </w:rPr>
              </m:ctrlPr>
            </m:dPr>
            <m:e>
              <m:r>
                <m:rPr>
                  <m:sty m:val="p"/>
                </m:rPr>
                <w:rPr>
                  <w:rFonts w:ascii="Cambria Math" w:hAnsi="Cambria Math" w:cs="Cambria Math"/>
                  <w:szCs w:val="24"/>
                </w:rPr>
                <m:t>1-podíl péče</m:t>
              </m:r>
            </m:e>
          </m:d>
          <m:r>
            <m:rPr>
              <m:sty m:val="p"/>
            </m:rPr>
            <w:rPr>
              <w:rFonts w:ascii="Cambria Math" w:hAnsi="Cambria Math" w:cs="Times New Roman"/>
              <w:szCs w:val="24"/>
            </w:rPr>
            <m:t xml:space="preserve"> x předběžná částka výživného=</m:t>
          </m:r>
          <m:r>
            <m:rPr>
              <m:sty m:val="p"/>
            </m:rPr>
            <w:rPr>
              <w:rFonts w:ascii="Cambria Math" w:hAnsi="Cambria Math" w:cs="Cambria Math"/>
              <w:szCs w:val="24"/>
            </w:rPr>
            <m:t>částka výživného v závislosti na péči</m:t>
          </m:r>
        </m:oMath>
      </m:oMathPara>
    </w:p>
    <w:p w14:paraId="0004439D" w14:textId="250FD218" w:rsidR="005F14DE" w:rsidRDefault="005F14DE" w:rsidP="005F14DE">
      <w:pPr>
        <w:shd w:val="clear" w:color="auto" w:fill="DEEAF6" w:themeFill="accent1" w:themeFillTint="33"/>
        <w:rPr>
          <w:rFonts w:cs="Times New Roman"/>
          <w:szCs w:val="24"/>
        </w:rPr>
      </w:pPr>
      <w:r w:rsidRPr="0048417F">
        <w:rPr>
          <w:rFonts w:cs="Times New Roman"/>
          <w:szCs w:val="24"/>
        </w:rPr>
        <w:t xml:space="preserve">V případě více dětí je třeba výpočet provést ve vztahu ke každému dítěti samostatně. </w:t>
      </w:r>
    </w:p>
    <w:p w14:paraId="3EA284A0" w14:textId="77777777" w:rsidR="005F14DE" w:rsidRPr="00610D50" w:rsidRDefault="005F14DE" w:rsidP="005F14DE">
      <w:pPr>
        <w:spacing w:after="120"/>
        <w:rPr>
          <w:rFonts w:cs="Times New Roman"/>
          <w:szCs w:val="24"/>
        </w:rPr>
      </w:pPr>
    </w:p>
    <w:p w14:paraId="7BC6B681" w14:textId="77777777" w:rsidR="005F14DE" w:rsidRDefault="005F14DE" w:rsidP="005F14DE">
      <w:pPr>
        <w:pStyle w:val="Nadpis2"/>
      </w:pPr>
      <w:r w:rsidRPr="0097023F">
        <w:t xml:space="preserve">Kontrolní částka    </w:t>
      </w:r>
    </w:p>
    <w:p w14:paraId="11546C66" w14:textId="77777777" w:rsidR="005F14DE" w:rsidRDefault="005F14DE" w:rsidP="005F14DE">
      <w:r w:rsidRPr="0046709C">
        <w:t xml:space="preserve">Ve výjimečných případech </w:t>
      </w:r>
      <w:r>
        <w:t>může být určená částka</w:t>
      </w:r>
      <w:r w:rsidRPr="0046709C">
        <w:t xml:space="preserve"> výživné</w:t>
      </w:r>
      <w:r>
        <w:t>ho</w:t>
      </w:r>
      <w:r w:rsidRPr="0046709C">
        <w:t xml:space="preserve">, zejména </w:t>
      </w:r>
      <w:r>
        <w:t>při existenci dalších</w:t>
      </w:r>
      <w:r w:rsidRPr="0046709C">
        <w:t xml:space="preserve"> vyživovací</w:t>
      </w:r>
      <w:r>
        <w:t>ch</w:t>
      </w:r>
      <w:r w:rsidRPr="0046709C">
        <w:t xml:space="preserve"> povinnost</w:t>
      </w:r>
      <w:r>
        <w:t xml:space="preserve">í </w:t>
      </w:r>
      <w:r w:rsidRPr="0046709C">
        <w:t xml:space="preserve">rodiče, </w:t>
      </w:r>
      <w:r>
        <w:t>příliš vysoká ve vztahu k možnostem, respektive životní úrovni povinného</w:t>
      </w:r>
      <w:r w:rsidRPr="0046709C">
        <w:t xml:space="preserve">. </w:t>
      </w:r>
      <w:r>
        <w:t>Je proto vhodné také zohledňovat orientační částku</w:t>
      </w:r>
      <w:r w:rsidRPr="0046709C">
        <w:t>, která by povinnému zpravidla měla zůstat</w:t>
      </w:r>
      <w:r>
        <w:t xml:space="preserve"> (tzv. kontrolní částka)</w:t>
      </w:r>
      <w:r w:rsidRPr="0046709C">
        <w:t xml:space="preserve">. </w:t>
      </w:r>
      <w:r>
        <w:t xml:space="preserve">Jak stanovit kontrolní částku, </w:t>
      </w:r>
      <w:proofErr w:type="gramStart"/>
      <w:r>
        <w:t>řeší</w:t>
      </w:r>
      <w:proofErr w:type="gramEnd"/>
      <w:r>
        <w:t xml:space="preserve"> poslední řádek tabulky.  </w:t>
      </w:r>
    </w:p>
    <w:p w14:paraId="6ECF5081" w14:textId="77777777" w:rsidR="005F14DE" w:rsidRDefault="005F14DE" w:rsidP="005F14DE">
      <w:r>
        <w:t xml:space="preserve">Krom situace, kdy má povinný jen jednu vyživovací povinnost, se kontrolní částka vypočítává vždy dvakrát (dvěma metodami). Následně se vybere ten výsledek, který je </w:t>
      </w:r>
      <w:r w:rsidRPr="008869D1">
        <w:t>pro povinného příznivější</w:t>
      </w:r>
      <w:r>
        <w:t>, tzn. kdy je částka vyšší. Výsledná kontrolní částka představuje částku, která by měla povinnému po zaplacení výživného zpravidla zbýt.</w:t>
      </w:r>
    </w:p>
    <w:p w14:paraId="225061B2" w14:textId="77777777" w:rsidR="005F14DE" w:rsidRPr="00380400" w:rsidRDefault="005F14DE" w:rsidP="005F14DE">
      <w:r w:rsidRPr="00380400">
        <w:t xml:space="preserve">Metody určení kontrolní částky jsou jednak </w:t>
      </w:r>
      <w:r>
        <w:t>procentem</w:t>
      </w:r>
      <w:r w:rsidRPr="00380400">
        <w:t xml:space="preserve"> z příjmu, jednak pevnou částkou. </w:t>
      </w:r>
      <w:r>
        <w:rPr>
          <w:rFonts w:cs="Times New Roman"/>
        </w:rPr>
        <w:t>Zjednodušeně</w:t>
      </w:r>
      <w:r w:rsidRPr="00BB6F52">
        <w:rPr>
          <w:rFonts w:cs="Times New Roman"/>
        </w:rPr>
        <w:t xml:space="preserve"> lze </w:t>
      </w:r>
      <w:proofErr w:type="gramStart"/>
      <w:r w:rsidRPr="00BB6F52">
        <w:rPr>
          <w:rFonts w:cs="Times New Roman"/>
        </w:rPr>
        <w:t>říci</w:t>
      </w:r>
      <w:proofErr w:type="gramEnd"/>
      <w:r w:rsidRPr="00BB6F52">
        <w:rPr>
          <w:rFonts w:cs="Times New Roman"/>
        </w:rPr>
        <w:t xml:space="preserve">, že výpočet kontrolní částky procentem </w:t>
      </w:r>
      <w:r>
        <w:rPr>
          <w:rFonts w:cs="Times New Roman"/>
        </w:rPr>
        <w:t xml:space="preserve">z </w:t>
      </w:r>
      <w:r w:rsidRPr="00BB6F52">
        <w:rPr>
          <w:rFonts w:cs="Times New Roman"/>
        </w:rPr>
        <w:t>příjmů se uplatní především u</w:t>
      </w:r>
      <w:r>
        <w:rPr>
          <w:rFonts w:cs="Times New Roman"/>
        </w:rPr>
        <w:t> </w:t>
      </w:r>
      <w:r w:rsidRPr="00BB6F52">
        <w:rPr>
          <w:rFonts w:cs="Times New Roman"/>
        </w:rPr>
        <w:t>povinných s vyšším příjmem</w:t>
      </w:r>
      <w:r>
        <w:rPr>
          <w:rFonts w:cs="Times New Roman"/>
        </w:rPr>
        <w:t xml:space="preserve"> a p</w:t>
      </w:r>
      <w:r w:rsidRPr="00470E80">
        <w:t>ro povinné s velmi nízkými příjmy bude naopak relevantní druhá metoda.</w:t>
      </w:r>
      <w:r>
        <w:rPr>
          <w:rStyle w:val="Znakapoznpodarou"/>
        </w:rPr>
        <w:footnoteReference w:id="16"/>
      </w:r>
      <w:r w:rsidRPr="00470E80">
        <w:t xml:space="preserve"> Obě metody jsou dále vysvětleny</w:t>
      </w:r>
      <w:r>
        <w:t xml:space="preserve">. </w:t>
      </w:r>
    </w:p>
    <w:p w14:paraId="00C0B4D2" w14:textId="77777777" w:rsidR="005F14DE" w:rsidRPr="008869D1" w:rsidRDefault="005F14DE" w:rsidP="005F14DE">
      <w:pPr>
        <w:pStyle w:val="Nadpis3"/>
        <w:numPr>
          <w:ilvl w:val="0"/>
          <w:numId w:val="1"/>
        </w:numPr>
        <w:ind w:left="360"/>
      </w:pPr>
      <w:r>
        <w:lastRenderedPageBreak/>
        <w:t>Stanovení kontrolní částky</w:t>
      </w:r>
      <w:r w:rsidRPr="008869D1">
        <w:t xml:space="preserve"> procentem z příjmu  </w:t>
      </w:r>
    </w:p>
    <w:p w14:paraId="7BE596E1" w14:textId="77777777" w:rsidR="005F14DE" w:rsidRDefault="005F14DE" w:rsidP="005F14DE">
      <w:r>
        <w:t xml:space="preserve">Kontrolní částka se </w:t>
      </w:r>
      <w:proofErr w:type="gramStart"/>
      <w:r>
        <w:t>určí</w:t>
      </w:r>
      <w:proofErr w:type="gramEnd"/>
      <w:r>
        <w:t xml:space="preserve"> jednoduše tak, že se dle příslušného sloupce v tabulce vybere příslušný kontrolní podíl z příjmu (v %) uvedený v posledním řádku. </w:t>
      </w:r>
    </w:p>
    <w:p w14:paraId="31DA3797" w14:textId="77777777" w:rsidR="005F14DE" w:rsidRDefault="005F14DE" w:rsidP="005F14DE">
      <w:pPr>
        <w:shd w:val="clear" w:color="auto" w:fill="DEEAF6" w:themeFill="accent1" w:themeFillTint="33"/>
      </w:pPr>
      <w:bookmarkStart w:id="3" w:name="_Hlk103155681"/>
      <w:r>
        <w:t>Hodnota kontrolního podílu z příjmu (v %) z posledního řádku se vynásobí s hodnotou průměrného čistého měsíčního příjmu vyděleného 100. Tím se získá kontrolní částka.</w:t>
      </w:r>
    </w:p>
    <w:bookmarkEnd w:id="3"/>
    <w:p w14:paraId="1B9378FE" w14:textId="77777777" w:rsidR="005F14DE" w:rsidRPr="006D249A" w:rsidRDefault="005F14DE" w:rsidP="005F14DE">
      <w:pPr>
        <w:shd w:val="clear" w:color="auto" w:fill="DEEAF6" w:themeFill="accent1" w:themeFillTint="33"/>
        <w:jc w:val="center"/>
        <w:rPr>
          <w:rFonts w:cs="Times New Roman"/>
        </w:rPr>
      </w:pPr>
      <m:oMath>
        <m:r>
          <m:rPr>
            <m:sty m:val="p"/>
          </m:rPr>
          <w:rPr>
            <w:rFonts w:ascii="Cambria Math" w:hAnsi="Cambria Math" w:cs="Times New Roman"/>
            <w:szCs w:val="24"/>
          </w:rPr>
          <m:t>kontrolní podíl z příj</m:t>
        </m:r>
        <m:r>
          <m:rPr>
            <m:sty m:val="p"/>
          </m:rPr>
          <w:rPr>
            <w:rFonts w:ascii="Cambria Math" w:eastAsiaTheme="minorEastAsia" w:hAnsi="Cambria Math" w:cs="Times New Roman"/>
            <w:szCs w:val="24"/>
          </w:rPr>
          <m:t xml:space="preserve">mu </m:t>
        </m:r>
        <m:d>
          <m:dPr>
            <m:ctrlPr>
              <w:rPr>
                <w:rFonts w:ascii="Cambria Math" w:eastAsiaTheme="minorEastAsia" w:hAnsi="Cambria Math" w:cs="Times New Roman"/>
                <w:iCs/>
                <w:szCs w:val="24"/>
              </w:rPr>
            </m:ctrlPr>
          </m:dPr>
          <m:e>
            <m:r>
              <m:rPr>
                <m:sty m:val="p"/>
              </m:rPr>
              <w:rPr>
                <w:rFonts w:ascii="Cambria Math" w:eastAsiaTheme="minorEastAsia" w:hAnsi="Cambria Math" w:cs="Times New Roman"/>
                <w:szCs w:val="24"/>
              </w:rPr>
              <m:t>v %</m:t>
            </m:r>
          </m:e>
        </m:d>
        <m:r>
          <w:rPr>
            <w:rFonts w:ascii="Cambria Math" w:eastAsiaTheme="minorEastAsia" w:hAnsi="Cambria Math" w:cs="Times New Roman"/>
            <w:szCs w:val="24"/>
          </w:rPr>
          <m:t xml:space="preserve"> </m:t>
        </m:r>
        <m:r>
          <m:rPr>
            <m:sty m:val="p"/>
          </m:rPr>
          <w:rPr>
            <w:rFonts w:ascii="Cambria Math" w:eastAsiaTheme="minorEastAsia" w:hAnsi="Cambria Math" w:cs="Times New Roman"/>
            <w:szCs w:val="24"/>
          </w:rPr>
          <m:t>x</m:t>
        </m:r>
        <m:r>
          <w:rPr>
            <w:rFonts w:ascii="Cambria Math" w:eastAsiaTheme="minorEastAsia" w:hAnsi="Cambria Math" w:cs="Times New Roman"/>
            <w:szCs w:val="24"/>
          </w:rPr>
          <m:t xml:space="preserve"> </m:t>
        </m:r>
        <m:f>
          <m:fPr>
            <m:ctrlPr>
              <w:rPr>
                <w:rFonts w:ascii="Cambria Math" w:hAnsi="Cambria Math" w:cs="Times New Roman"/>
                <w:szCs w:val="24"/>
              </w:rPr>
            </m:ctrlPr>
          </m:fPr>
          <m:num>
            <m:r>
              <m:rPr>
                <m:sty m:val="p"/>
              </m:rPr>
              <w:rPr>
                <w:rFonts w:ascii="Cambria Math" w:hAnsi="Cambria Math" w:cs="Times New Roman"/>
                <w:szCs w:val="24"/>
              </w:rPr>
              <m:t xml:space="preserve">příjem </m:t>
            </m:r>
          </m:num>
          <m:den>
            <m:r>
              <m:rPr>
                <m:sty m:val="p"/>
              </m:rPr>
              <w:rPr>
                <w:rFonts w:ascii="Cambria Math" w:hAnsi="Cambria Math" w:cs="Times New Roman"/>
                <w:szCs w:val="24"/>
              </w:rPr>
              <m:t>100</m:t>
            </m:r>
          </m:den>
        </m:f>
        <m:r>
          <m:rPr>
            <m:sty m:val="p"/>
          </m:rPr>
          <w:rPr>
            <w:rFonts w:ascii="Cambria Math" w:hAnsi="Cambria Math" w:cs="Times New Roman"/>
            <w:szCs w:val="24"/>
          </w:rPr>
          <m:t xml:space="preserve"> </m:t>
        </m:r>
      </m:oMath>
      <w:r w:rsidRPr="00610D50">
        <w:rPr>
          <w:rFonts w:eastAsiaTheme="minorEastAsia" w:cs="Times New Roman"/>
          <w:iCs/>
        </w:rPr>
        <w:t xml:space="preserve"> = </w:t>
      </w:r>
      <m:oMath>
        <m:r>
          <m:rPr>
            <m:sty m:val="p"/>
          </m:rPr>
          <w:rPr>
            <w:rFonts w:ascii="Cambria Math" w:hAnsi="Cambria Math" w:cs="Times New Roman"/>
          </w:rPr>
          <m:t>kontrolní částka</m:t>
        </m:r>
      </m:oMath>
    </w:p>
    <w:p w14:paraId="039579A6" w14:textId="77777777" w:rsidR="005F14DE" w:rsidRPr="008869D1" w:rsidRDefault="005F14DE" w:rsidP="005F14DE">
      <w:pPr>
        <w:pStyle w:val="Nadpis3"/>
        <w:numPr>
          <w:ilvl w:val="0"/>
          <w:numId w:val="1"/>
        </w:numPr>
        <w:ind w:left="360"/>
      </w:pPr>
      <w:r>
        <w:t>Stanovení kontrolní částky</w:t>
      </w:r>
      <w:r w:rsidRPr="008869D1">
        <w:t xml:space="preserve"> </w:t>
      </w:r>
      <w:r>
        <w:t>pevnou spodní částkou</w:t>
      </w:r>
      <w:r w:rsidRPr="008869D1">
        <w:t xml:space="preserve">  </w:t>
      </w:r>
    </w:p>
    <w:p w14:paraId="186892D3" w14:textId="77777777" w:rsidR="005F14DE" w:rsidRDefault="005F14DE" w:rsidP="005F14DE">
      <w:r>
        <w:t xml:space="preserve">Kontrolní částka se </w:t>
      </w:r>
      <w:proofErr w:type="gramStart"/>
      <w:r>
        <w:t>určí</w:t>
      </w:r>
      <w:proofErr w:type="gramEnd"/>
      <w:r>
        <w:t xml:space="preserve"> s využitím</w:t>
      </w:r>
      <w:r w:rsidRPr="008869D1">
        <w:t xml:space="preserve"> tzv. nezabavitelné částky, která se jinak používá při výpočtu srážek z příjmu povinného v exekuci a oddlužení.</w:t>
      </w:r>
      <w:r>
        <w:rPr>
          <w:rStyle w:val="Znakapoznpodarou"/>
        </w:rPr>
        <w:footnoteReference w:id="17"/>
      </w:r>
      <w:r>
        <w:t xml:space="preserve"> </w:t>
      </w:r>
    </w:p>
    <w:p w14:paraId="7ED560FF" w14:textId="77777777" w:rsidR="005F14DE" w:rsidRDefault="005F14DE" w:rsidP="005F14DE">
      <w:r>
        <w:t xml:space="preserve">Kontrolní částku lze v praxi jednoduše stanovit s pomocí online </w:t>
      </w:r>
      <w:hyperlink r:id="rId9" w:history="1">
        <w:r w:rsidRPr="00C31C71">
          <w:rPr>
            <w:rStyle w:val="Hypertextovodkaz"/>
          </w:rPr>
          <w:t>Kalkulátoru splátek pro</w:t>
        </w:r>
        <w:r>
          <w:rPr>
            <w:rStyle w:val="Hypertextovodkaz"/>
          </w:rPr>
          <w:t> </w:t>
        </w:r>
        <w:r w:rsidRPr="00C31C71">
          <w:rPr>
            <w:rStyle w:val="Hypertextovodkaz"/>
          </w:rPr>
          <w:t>oddlužení</w:t>
        </w:r>
      </w:hyperlink>
      <w:r>
        <w:t xml:space="preserve"> Ministerstva spravedlnosti.</w:t>
      </w:r>
    </w:p>
    <w:p w14:paraId="5AF70741" w14:textId="77777777" w:rsidR="005F14DE" w:rsidRDefault="005F14DE" w:rsidP="005F14DE">
      <w:pPr>
        <w:pStyle w:val="Odstavecseseznamem"/>
        <w:numPr>
          <w:ilvl w:val="0"/>
          <w:numId w:val="5"/>
        </w:numPr>
      </w:pPr>
      <w:r>
        <w:t>Do kolonky „</w:t>
      </w:r>
      <w:r w:rsidRPr="008869D1">
        <w:t>Děti a další vyživované osoby</w:t>
      </w:r>
      <w:r>
        <w:t>“ se pro tyto účely</w:t>
      </w:r>
      <w:r w:rsidRPr="008869D1">
        <w:t xml:space="preserve"> </w:t>
      </w:r>
      <w:r>
        <w:t>uvede hodnota</w:t>
      </w:r>
      <w:r w:rsidRPr="008869D1">
        <w:t xml:space="preserve"> </w:t>
      </w:r>
      <w:r>
        <w:t>„</w:t>
      </w:r>
      <w:r w:rsidRPr="008869D1">
        <w:t>0</w:t>
      </w:r>
      <w:r>
        <w:t>“,</w:t>
      </w:r>
      <w:r>
        <w:rPr>
          <w:rStyle w:val="Znakapoznpodarou"/>
        </w:rPr>
        <w:footnoteReference w:id="18"/>
      </w:r>
    </w:p>
    <w:p w14:paraId="51DE22C0" w14:textId="77777777" w:rsidR="005F14DE" w:rsidRDefault="005F14DE" w:rsidP="005F14DE">
      <w:pPr>
        <w:pStyle w:val="Odstavecseseznamem"/>
        <w:numPr>
          <w:ilvl w:val="0"/>
          <w:numId w:val="5"/>
        </w:numPr>
      </w:pPr>
      <w:r>
        <w:t>V kolonce „Manžela/</w:t>
      </w:r>
      <w:proofErr w:type="spellStart"/>
      <w:r w:rsidRPr="008869D1">
        <w:t>ky</w:t>
      </w:r>
      <w:proofErr w:type="spellEnd"/>
      <w:r>
        <w:t>“</w:t>
      </w:r>
      <w:r w:rsidRPr="008869D1">
        <w:t xml:space="preserve"> se</w:t>
      </w:r>
      <w:r>
        <w:t xml:space="preserve"> pro tyto účely</w:t>
      </w:r>
      <w:r w:rsidRPr="008869D1">
        <w:t xml:space="preserve"> </w:t>
      </w:r>
      <w:r>
        <w:t>vybere</w:t>
      </w:r>
      <w:r w:rsidRPr="008869D1">
        <w:t xml:space="preserve"> „ne“</w:t>
      </w:r>
      <w:r>
        <w:t>.</w:t>
      </w:r>
      <w:r>
        <w:rPr>
          <w:rStyle w:val="Znakapoznpodarou"/>
        </w:rPr>
        <w:footnoteReference w:id="19"/>
      </w:r>
    </w:p>
    <w:p w14:paraId="51E80D4B" w14:textId="155AB593" w:rsidR="005F14DE" w:rsidRDefault="005F14DE" w:rsidP="005F14DE">
      <w:pPr>
        <w:pStyle w:val="Odstavecseseznamem"/>
        <w:numPr>
          <w:ilvl w:val="0"/>
          <w:numId w:val="5"/>
        </w:numPr>
      </w:pPr>
      <w:r>
        <w:t>Do kolonky „</w:t>
      </w:r>
      <w:r w:rsidRPr="00CD6CA9">
        <w:t>Čistá mzda (měsíční)</w:t>
      </w:r>
      <w:r>
        <w:t xml:space="preserve">“ se uvede </w:t>
      </w:r>
      <w:r w:rsidRPr="008869D1">
        <w:t>zjištěn</w:t>
      </w:r>
      <w:r w:rsidR="00A84196">
        <w:t>ý</w:t>
      </w:r>
      <w:r w:rsidRPr="008869D1">
        <w:t xml:space="preserve"> </w:t>
      </w:r>
      <w:r>
        <w:t>průměrn</w:t>
      </w:r>
      <w:r w:rsidR="00A84196">
        <w:t>ý</w:t>
      </w:r>
      <w:r>
        <w:t xml:space="preserve"> </w:t>
      </w:r>
      <w:r w:rsidRPr="008869D1">
        <w:t>čist</w:t>
      </w:r>
      <w:r w:rsidR="00A84196">
        <w:t>ý</w:t>
      </w:r>
      <w:r w:rsidRPr="008869D1">
        <w:t xml:space="preserve"> </w:t>
      </w:r>
      <w:r w:rsidR="00A84196">
        <w:t>příjem</w:t>
      </w:r>
      <w:r w:rsidRPr="008869D1">
        <w:t xml:space="preserve">. </w:t>
      </w:r>
    </w:p>
    <w:p w14:paraId="4E52E584" w14:textId="77777777" w:rsidR="005F14DE" w:rsidRDefault="005F14DE" w:rsidP="005F14DE">
      <w:r>
        <w:t>Kontrolní částku pak představuje hodnota v kalkulátoru uváděná jako</w:t>
      </w:r>
      <w:r w:rsidRPr="008869D1">
        <w:t xml:space="preserve"> „Mzda k výplatě“. </w:t>
      </w:r>
    </w:p>
    <w:p w14:paraId="5D3BC8AD" w14:textId="77777777" w:rsidR="005F14DE" w:rsidRDefault="005F14DE" w:rsidP="005F14DE"/>
    <w:p w14:paraId="598E78E0" w14:textId="77777777" w:rsidR="005F14DE" w:rsidRDefault="005F14DE" w:rsidP="005F14DE">
      <w:pPr>
        <w:pStyle w:val="Nadpis2"/>
      </w:pPr>
      <w:r>
        <w:t>Korigování výživného pomocí kontrolní částky</w:t>
      </w:r>
    </w:p>
    <w:p w14:paraId="49C01605" w14:textId="77777777" w:rsidR="005F14DE" w:rsidRDefault="005F14DE" w:rsidP="005F14DE">
      <w:r>
        <w:t xml:space="preserve">Následně je třeba zkontrolovat, zda výše výživného stanovená dosavadním postupem nepřekračuje přijatelnou hranici.   </w:t>
      </w:r>
    </w:p>
    <w:p w14:paraId="6919A630" w14:textId="77777777" w:rsidR="005F14DE" w:rsidRPr="008869D1" w:rsidRDefault="005F14DE" w:rsidP="005F14DE">
      <w:pPr>
        <w:shd w:val="clear" w:color="auto" w:fill="DEEAF6" w:themeFill="accent1" w:themeFillTint="33"/>
      </w:pPr>
      <w:r>
        <w:t>Jak bylo řečeno, při kontrole se následně pracuje již jen s tou kontrolní částkou (vzešlou z výše popsaných metod stanovení), která je vyšší. Odečtením</w:t>
      </w:r>
      <w:r w:rsidRPr="008869D1">
        <w:t xml:space="preserve"> kontrolní č</w:t>
      </w:r>
      <w:r>
        <w:t>ástky od částky průměrného čistého měsíčního příjmu se získá</w:t>
      </w:r>
      <w:r w:rsidRPr="008869D1">
        <w:t xml:space="preserve"> částka, kterou by </w:t>
      </w:r>
      <w:r>
        <w:t xml:space="preserve">celkové </w:t>
      </w:r>
      <w:r w:rsidRPr="008869D1">
        <w:t>výživné zpravidla nemělo přesáhnout.</w:t>
      </w:r>
    </w:p>
    <w:p w14:paraId="1809809E" w14:textId="77777777" w:rsidR="005F14DE" w:rsidRPr="000A4EC3" w:rsidRDefault="005F14DE" w:rsidP="005F14DE">
      <w:pPr>
        <w:shd w:val="clear" w:color="auto" w:fill="DEEAF6" w:themeFill="accent1" w:themeFillTint="33"/>
        <w:jc w:val="center"/>
        <w:rPr>
          <w:rFonts w:cs="Times New Roman"/>
        </w:rPr>
      </w:pPr>
      <m:oMath>
        <m:r>
          <m:rPr>
            <m:sty m:val="p"/>
          </m:rPr>
          <w:rPr>
            <w:rFonts w:ascii="Cambria Math" w:hAnsi="Cambria Math" w:cs="Times New Roman"/>
          </w:rPr>
          <m:t>čistý příjem</m:t>
        </m:r>
        <m:r>
          <m:rPr>
            <m:sty m:val="p"/>
          </m:rPr>
          <w:rPr>
            <w:rFonts w:ascii="Cambria Math" w:eastAsiaTheme="minorEastAsia" w:hAnsi="Cambria Math" w:cs="Times New Roman"/>
          </w:rPr>
          <m:t xml:space="preserve">- </m:t>
        </m:r>
        <m:r>
          <m:rPr>
            <m:sty m:val="p"/>
          </m:rPr>
          <w:rPr>
            <w:rFonts w:ascii="Cambria Math" w:hAnsi="Cambria Math" w:cs="Times New Roman"/>
          </w:rPr>
          <m:t xml:space="preserve">kontrolní částka </m:t>
        </m:r>
      </m:oMath>
      <w:r w:rsidRPr="000A4EC3">
        <w:rPr>
          <w:rFonts w:eastAsiaTheme="minorEastAsia" w:cs="Times New Roman"/>
          <w:iCs/>
        </w:rPr>
        <w:t xml:space="preserve"> = </w:t>
      </w:r>
      <m:oMath>
        <m:r>
          <m:rPr>
            <m:sty m:val="p"/>
          </m:rPr>
          <w:rPr>
            <w:rFonts w:ascii="Cambria Math" w:eastAsiaTheme="minorEastAsia" w:hAnsi="Cambria Math" w:cs="Times New Roman"/>
          </w:rPr>
          <m:t xml:space="preserve">orientační </m:t>
        </m:r>
        <m:r>
          <m:rPr>
            <m:sty m:val="p"/>
          </m:rPr>
          <w:rPr>
            <w:rFonts w:ascii="Cambria Math" w:hAnsi="Cambria Math" w:cs="Times New Roman"/>
          </w:rPr>
          <m:t xml:space="preserve">maximální výše výživného </m:t>
        </m:r>
      </m:oMath>
    </w:p>
    <w:p w14:paraId="5D478B5C" w14:textId="55292392" w:rsidR="00386A8A" w:rsidRDefault="005F14DE" w:rsidP="005F14DE">
      <w:r>
        <w:t xml:space="preserve">Pokud dosud předběžně stanovené výživné (respektive součet všech stanovených výživných) převyšuje zjištěnou orientační maximální výši, je vhodné zvážit následnou korekci. V případě jediné vyživovací povinnosti se pouze výživné </w:t>
      </w:r>
      <w:proofErr w:type="gramStart"/>
      <w:r>
        <w:t>sníží</w:t>
      </w:r>
      <w:proofErr w:type="gramEnd"/>
      <w:r>
        <w:t xml:space="preserve"> na zjištěnou orientační maximální výši. Pokud má povinný rodič více vyživovacích povinností, je korekce složitější. </w:t>
      </w:r>
    </w:p>
    <w:p w14:paraId="41753938" w14:textId="5F147BE2" w:rsidR="005F14DE" w:rsidRDefault="005F14DE" w:rsidP="005F14DE">
      <w:pPr>
        <w:shd w:val="clear" w:color="auto" w:fill="DEEAF6" w:themeFill="accent1" w:themeFillTint="33"/>
      </w:pPr>
      <w:bookmarkStart w:id="6" w:name="_Hlk110417569"/>
      <w:r>
        <w:t xml:space="preserve">V případě více vyživovacích povinností se nejprve stanoví součet podílů z příjmu (v %), které odpovídají v tabulce jednotlivým vyživovacím povinnostem (dětem). Orientační maximální </w:t>
      </w:r>
      <w:r>
        <w:lastRenderedPageBreak/>
        <w:t xml:space="preserve">výše výživného </w:t>
      </w:r>
      <w:r w:rsidRPr="008869D1">
        <w:t xml:space="preserve">se tímto </w:t>
      </w:r>
      <w:r>
        <w:t>součtem podílů z příjmu</w:t>
      </w:r>
      <w:r w:rsidRPr="008869D1">
        <w:t xml:space="preserve"> </w:t>
      </w:r>
      <w:r>
        <w:t xml:space="preserve">(v %) </w:t>
      </w:r>
      <w:r w:rsidRPr="008869D1">
        <w:t xml:space="preserve">vydělí. Abychom pak získali </w:t>
      </w:r>
      <w:r>
        <w:t xml:space="preserve">korigovanou </w:t>
      </w:r>
      <w:r w:rsidRPr="008869D1">
        <w:t xml:space="preserve">částku výživného připadající na konkrétní dítě, vynásobíme </w:t>
      </w:r>
      <w:r>
        <w:t xml:space="preserve">získanou mezihodnotu hodnotou </w:t>
      </w:r>
      <w:r w:rsidRPr="008869D1">
        <w:t>podíl</w:t>
      </w:r>
      <w:r>
        <w:t>u z příjmu (v %), který danému dítěti dle tabulky přísluší. Tím dojde k distribuci maximálního množství peněz v poměrech dle tabulky mezi jednotlivé děti.</w:t>
      </w:r>
      <w:r w:rsidR="00386A8A">
        <w:t xml:space="preserve"> </w:t>
      </w:r>
    </w:p>
    <w:p w14:paraId="4920EC70" w14:textId="77777777" w:rsidR="005F14DE" w:rsidRPr="001C378F" w:rsidRDefault="009563F3" w:rsidP="005F14DE">
      <w:pPr>
        <w:shd w:val="clear" w:color="auto" w:fill="DEEAF6" w:themeFill="accent1" w:themeFillTint="33"/>
        <w:jc w:val="center"/>
        <w:rPr>
          <w:rFonts w:eastAsiaTheme="minorEastAsia"/>
        </w:rPr>
      </w:pPr>
      <m:oMathPara>
        <m:oMath>
          <m:f>
            <m:fPr>
              <m:ctrlPr>
                <w:rPr>
                  <w:rFonts w:ascii="Cambria Math" w:hAnsi="Cambria Math" w:cs="Times New Roman"/>
                </w:rPr>
              </m:ctrlPr>
            </m:fPr>
            <m:num>
              <m:r>
                <m:rPr>
                  <m:sty m:val="p"/>
                </m:rPr>
                <w:rPr>
                  <w:rFonts w:ascii="Cambria Math" w:eastAsiaTheme="minorEastAsia" w:hAnsi="Cambria Math" w:cs="Times New Roman"/>
                </w:rPr>
                <m:t xml:space="preserve">orientační </m:t>
              </m:r>
              <m:r>
                <m:rPr>
                  <m:sty m:val="p"/>
                </m:rPr>
                <w:rPr>
                  <w:rFonts w:ascii="Cambria Math" w:hAnsi="Cambria Math" w:cs="Times New Roman"/>
                </w:rPr>
                <m:t>maximální výše výživného</m:t>
              </m:r>
            </m:num>
            <m:den>
              <m:r>
                <m:rPr>
                  <m:sty m:val="p"/>
                </m:rPr>
                <w:rPr>
                  <w:rFonts w:ascii="Cambria Math" w:hAnsi="Cambria Math" w:cs="Times New Roman"/>
                </w:rPr>
                <m:t xml:space="preserve">součet podílů z příjmu </m:t>
              </m:r>
              <m:d>
                <m:dPr>
                  <m:ctrlPr>
                    <w:rPr>
                      <w:rFonts w:ascii="Cambria Math" w:eastAsiaTheme="minorEastAsia" w:hAnsi="Cambria Math" w:cs="Times New Roman"/>
                      <w:iCs/>
                    </w:rPr>
                  </m:ctrlPr>
                </m:dPr>
                <m:e>
                  <m:r>
                    <m:rPr>
                      <m:sty m:val="p"/>
                    </m:rPr>
                    <w:rPr>
                      <w:rFonts w:ascii="Cambria Math" w:eastAsiaTheme="minorEastAsia" w:hAnsi="Cambria Math" w:cs="Times New Roman"/>
                    </w:rPr>
                    <m:t>v %</m:t>
                  </m:r>
                </m:e>
              </m:d>
              <m:r>
                <w:rPr>
                  <w:rFonts w:ascii="Cambria Math" w:eastAsiaTheme="minorEastAsia" w:hAnsi="Cambria Math" w:cs="Times New Roman"/>
                </w:rPr>
                <m:t xml:space="preserve"> </m:t>
              </m:r>
            </m:den>
          </m:f>
          <m:r>
            <m:rPr>
              <m:sty m:val="p"/>
            </m:rPr>
            <w:rPr>
              <w:rFonts w:ascii="Cambria Math" w:hAnsi="Cambria Math" w:cs="Times New Roman"/>
            </w:rPr>
            <m:t>= mezihodnota</m:t>
          </m:r>
        </m:oMath>
      </m:oMathPara>
    </w:p>
    <w:p w14:paraId="0F1B6F64" w14:textId="6686E521" w:rsidR="005F14DE" w:rsidRDefault="005F14DE" w:rsidP="005F14DE">
      <w:pPr>
        <w:shd w:val="clear" w:color="auto" w:fill="DEEAF6" w:themeFill="accent1" w:themeFillTint="33"/>
        <w:jc w:val="center"/>
        <w:rPr>
          <w:rFonts w:eastAsiaTheme="minorEastAsia" w:cs="Times New Roman"/>
          <w:iCs/>
        </w:rPr>
      </w:pPr>
      <m:oMath>
        <m:r>
          <m:rPr>
            <m:sty m:val="p"/>
          </m:rPr>
          <w:rPr>
            <w:rFonts w:ascii="Cambria Math" w:hAnsi="Cambria Math" w:cs="Times New Roman"/>
          </w:rPr>
          <m:t>mezihodnota x podíl z příj</m:t>
        </m:r>
        <m:r>
          <m:rPr>
            <m:sty m:val="p"/>
          </m:rPr>
          <w:rPr>
            <w:rFonts w:ascii="Cambria Math" w:eastAsiaTheme="minorEastAsia" w:hAnsi="Cambria Math" w:cs="Times New Roman"/>
          </w:rPr>
          <m:t xml:space="preserve">mu </m:t>
        </m:r>
        <m:d>
          <m:dPr>
            <m:ctrlPr>
              <w:rPr>
                <w:rFonts w:ascii="Cambria Math" w:eastAsiaTheme="minorEastAsia" w:hAnsi="Cambria Math" w:cs="Times New Roman"/>
                <w:iCs/>
              </w:rPr>
            </m:ctrlPr>
          </m:dPr>
          <m:e>
            <m:r>
              <m:rPr>
                <m:sty m:val="p"/>
              </m:rPr>
              <w:rPr>
                <w:rFonts w:ascii="Cambria Math" w:eastAsiaTheme="minorEastAsia" w:hAnsi="Cambria Math" w:cs="Times New Roman"/>
              </w:rPr>
              <m:t>v %</m:t>
            </m:r>
          </m:e>
        </m:d>
        <m:r>
          <m:rPr>
            <m:sty m:val="p"/>
          </m:rPr>
          <w:rPr>
            <w:rFonts w:ascii="Cambria Math" w:hAnsi="Cambria Math" w:cs="Times New Roman"/>
          </w:rPr>
          <m:t>= výše výživného pro konkrétní dít</m:t>
        </m:r>
        <m:r>
          <w:rPr>
            <w:rFonts w:ascii="Cambria Math" w:eastAsiaTheme="minorEastAsia" w:hAnsi="Cambria Math" w:cs="Times New Roman"/>
          </w:rPr>
          <m:t>ě</m:t>
        </m:r>
      </m:oMath>
      <w:r>
        <w:rPr>
          <w:rFonts w:eastAsiaTheme="minorEastAsia" w:cs="Times New Roman"/>
          <w:iCs/>
        </w:rPr>
        <w:t xml:space="preserve"> </w:t>
      </w:r>
    </w:p>
    <w:p w14:paraId="1D6A27BD" w14:textId="77777777" w:rsidR="000D52E2" w:rsidRDefault="000D52E2" w:rsidP="000D52E2">
      <w:pPr>
        <w:shd w:val="clear" w:color="auto" w:fill="DEEAF6" w:themeFill="accent1" w:themeFillTint="33"/>
      </w:pPr>
    </w:p>
    <w:p w14:paraId="4C5E8C3F" w14:textId="35FBF170" w:rsidR="00D579EB" w:rsidRPr="000D52E2" w:rsidRDefault="007C4467" w:rsidP="000D52E2">
      <w:pPr>
        <w:shd w:val="clear" w:color="auto" w:fill="DEEAF6" w:themeFill="accent1" w:themeFillTint="33"/>
        <w:rPr>
          <w:rFonts w:eastAsiaTheme="minorEastAsia" w:cs="Times New Roman"/>
          <w:i/>
        </w:rPr>
      </w:pPr>
      <w:r>
        <w:t xml:space="preserve">V případě více vyživovacích povinností, kdy je celková </w:t>
      </w:r>
      <w:r w:rsidRPr="00063486">
        <w:t>částka výživného v závislosti na péči</w:t>
      </w:r>
      <w:r>
        <w:t xml:space="preserve"> vyšší než orientační maximální výše výživného, se pak použije hodnota orientační maximální výše výživného rozdělená v poměru zohledňujícím jak poměr podílu z příjmu, který danému dítěti dle tabulky přísluší, tak poměr výživného připadající na konkrétní dítě v závislosti na péči.</w:t>
      </w:r>
    </w:p>
    <w:p w14:paraId="2F1EF2B2" w14:textId="0058C2E8" w:rsidR="00FF4635" w:rsidRPr="000D52E2" w:rsidRDefault="009563F3" w:rsidP="002821A7">
      <w:pPr>
        <w:shd w:val="clear" w:color="auto" w:fill="DEEAF6" w:themeFill="accent1" w:themeFillTint="33"/>
        <w:jc w:val="center"/>
        <w:rPr>
          <w:rFonts w:eastAsiaTheme="minorEastAsia"/>
        </w:rPr>
      </w:pPr>
      <m:oMathPara>
        <m:oMath>
          <m:f>
            <m:fPr>
              <m:ctrlPr>
                <w:rPr>
                  <w:rFonts w:ascii="Cambria Math" w:hAnsi="Cambria Math" w:cs="Times New Roman"/>
                </w:rPr>
              </m:ctrlPr>
            </m:fPr>
            <m:num>
              <m:r>
                <m:rPr>
                  <m:sty m:val="p"/>
                </m:rPr>
                <w:rPr>
                  <w:rFonts w:ascii="Cambria Math" w:eastAsiaTheme="minorEastAsia" w:hAnsi="Cambria Math" w:cs="Times New Roman"/>
                </w:rPr>
                <m:t>částka výživného na konkrétní dítě v závislosti na péči</m:t>
              </m:r>
            </m:num>
            <m:den>
              <m:r>
                <m:rPr>
                  <m:sty m:val="p"/>
                </m:rPr>
                <w:rPr>
                  <w:rFonts w:ascii="Cambria Math" w:hAnsi="Cambria Math" w:cs="Times New Roman"/>
                </w:rPr>
                <m:t>součet částek výživného pro všechny děti v závislosti na péči</m:t>
              </m:r>
            </m:den>
          </m:f>
          <m:r>
            <m:rPr>
              <m:sty m:val="p"/>
            </m:rPr>
            <w:rPr>
              <w:rFonts w:ascii="Cambria Math" w:hAnsi="Cambria Math" w:cs="Times New Roman"/>
            </w:rPr>
            <m:t>= mezihodnota</m:t>
          </m:r>
        </m:oMath>
      </m:oMathPara>
    </w:p>
    <w:p w14:paraId="6039A27F" w14:textId="1509AC2D" w:rsidR="002821A7" w:rsidRDefault="002821A7" w:rsidP="002821A7">
      <w:pPr>
        <w:shd w:val="clear" w:color="auto" w:fill="DEEAF6" w:themeFill="accent1" w:themeFillTint="33"/>
        <w:jc w:val="center"/>
        <w:rPr>
          <w:rFonts w:eastAsiaTheme="minorEastAsia" w:cs="Times New Roman"/>
          <w:iCs/>
        </w:rPr>
      </w:pPr>
      <m:oMath>
        <m:r>
          <m:rPr>
            <m:sty m:val="p"/>
          </m:rPr>
          <w:rPr>
            <w:rFonts w:ascii="Cambria Math" w:hAnsi="Cambria Math" w:cs="Times New Roman"/>
          </w:rPr>
          <m:t>mezihodnota x orientační maximální výše výživného=  výše výživného pro konkrétní dít</m:t>
        </m:r>
        <m:r>
          <w:rPr>
            <w:rFonts w:ascii="Cambria Math" w:eastAsiaTheme="minorEastAsia" w:hAnsi="Cambria Math" w:cs="Times New Roman"/>
          </w:rPr>
          <m:t>ě</m:t>
        </m:r>
      </m:oMath>
      <w:r>
        <w:rPr>
          <w:rFonts w:eastAsiaTheme="minorEastAsia" w:cs="Times New Roman"/>
          <w:iCs/>
        </w:rPr>
        <w:t xml:space="preserve"> </w:t>
      </w:r>
    </w:p>
    <w:bookmarkEnd w:id="6"/>
    <w:p w14:paraId="2A8CF59E" w14:textId="77777777" w:rsidR="005F14DE" w:rsidRDefault="005F14DE" w:rsidP="005F14DE">
      <w:r>
        <w:t>Postup je vhodné ilustrovat na příkladu:</w:t>
      </w:r>
    </w:p>
    <w:p w14:paraId="7CB78144" w14:textId="231A0539" w:rsidR="005F14DE" w:rsidRPr="00655367" w:rsidRDefault="005F14DE" w:rsidP="005F14DE">
      <w:pPr>
        <w:rPr>
          <w:i/>
        </w:rPr>
      </w:pPr>
      <w:r w:rsidRPr="00655367">
        <w:rPr>
          <w:i/>
        </w:rPr>
        <w:t xml:space="preserve">Zaměstnanec s čistým příjmem </w:t>
      </w:r>
      <w:r w:rsidR="009A4564">
        <w:rPr>
          <w:i/>
        </w:rPr>
        <w:t>25 000</w:t>
      </w:r>
      <w:r w:rsidRPr="00655367">
        <w:rPr>
          <w:i/>
        </w:rPr>
        <w:t xml:space="preserve"> Kč má 3 děti z prvního vztahu ve věku 7, 11 a 16 let, na</w:t>
      </w:r>
      <w:r>
        <w:rPr>
          <w:i/>
        </w:rPr>
        <w:t> </w:t>
      </w:r>
      <w:r w:rsidRPr="00655367">
        <w:rPr>
          <w:i/>
        </w:rPr>
        <w:t xml:space="preserve">které je povinen platit výživné (rozsah péče a styku zanedbáváme). Současně má z dalšího vztahu dítě ve věku 2 let. </w:t>
      </w:r>
    </w:p>
    <w:p w14:paraId="26E709DC" w14:textId="75165AF5" w:rsidR="005F14DE" w:rsidRPr="00655367" w:rsidRDefault="005F14DE" w:rsidP="005F14DE">
      <w:pPr>
        <w:rPr>
          <w:i/>
        </w:rPr>
      </w:pPr>
      <w:r w:rsidRPr="00655367">
        <w:rPr>
          <w:i/>
        </w:rPr>
        <w:t xml:space="preserve">Kontrolní částka je </w:t>
      </w:r>
      <w:r w:rsidR="00500DF2">
        <w:rPr>
          <w:i/>
        </w:rPr>
        <w:t>17 018</w:t>
      </w:r>
      <w:r w:rsidR="00835CB6" w:rsidRPr="00655367">
        <w:rPr>
          <w:i/>
        </w:rPr>
        <w:t xml:space="preserve"> </w:t>
      </w:r>
      <w:r w:rsidRPr="00655367">
        <w:rPr>
          <w:i/>
        </w:rPr>
        <w:t xml:space="preserve">Kč. Orientační maximální celkové výše výživného je </w:t>
      </w:r>
      <w:r w:rsidR="00500DF2" w:rsidRPr="00500DF2">
        <w:rPr>
          <w:bCs/>
          <w:i/>
        </w:rPr>
        <w:t>7</w:t>
      </w:r>
      <w:r w:rsidR="00500DF2">
        <w:rPr>
          <w:bCs/>
          <w:i/>
        </w:rPr>
        <w:t> </w:t>
      </w:r>
      <w:r w:rsidR="00500DF2" w:rsidRPr="00500DF2">
        <w:rPr>
          <w:bCs/>
          <w:i/>
        </w:rPr>
        <w:t>982</w:t>
      </w:r>
      <w:r w:rsidR="00500DF2">
        <w:rPr>
          <w:bCs/>
          <w:i/>
        </w:rPr>
        <w:t xml:space="preserve"> </w:t>
      </w:r>
      <w:r w:rsidRPr="00655367">
        <w:rPr>
          <w:bCs/>
          <w:i/>
        </w:rPr>
        <w:t>Kč</w:t>
      </w:r>
      <w:r w:rsidRPr="00655367">
        <w:rPr>
          <w:i/>
        </w:rPr>
        <w:t xml:space="preserve"> (</w:t>
      </w:r>
      <w:r w:rsidR="009A4564">
        <w:rPr>
          <w:i/>
        </w:rPr>
        <w:t>25 000</w:t>
      </w:r>
      <w:r w:rsidRPr="00655367">
        <w:rPr>
          <w:i/>
        </w:rPr>
        <w:t xml:space="preserve"> – </w:t>
      </w:r>
      <w:r w:rsidR="00500DF2">
        <w:rPr>
          <w:i/>
        </w:rPr>
        <w:t>17 018</w:t>
      </w:r>
      <w:r w:rsidRPr="00655367">
        <w:rPr>
          <w:i/>
        </w:rPr>
        <w:t xml:space="preserve">). Předběžné výživné na všechny děti před korekcí kontrolní částkou je </w:t>
      </w:r>
      <w:r w:rsidR="009A4564">
        <w:rPr>
          <w:i/>
        </w:rPr>
        <w:t>11 000</w:t>
      </w:r>
      <w:r w:rsidRPr="00A943BB">
        <w:rPr>
          <w:i/>
        </w:rPr>
        <w:t> Kč</w:t>
      </w:r>
      <w:r w:rsidRPr="00655367">
        <w:rPr>
          <w:rStyle w:val="Znakapoznpodarou"/>
          <w:i/>
        </w:rPr>
        <w:footnoteReference w:id="20"/>
      </w:r>
      <w:r w:rsidRPr="00655367">
        <w:rPr>
          <w:i/>
        </w:rPr>
        <w:t xml:space="preserve">, tedy </w:t>
      </w:r>
      <w:r>
        <w:rPr>
          <w:i/>
        </w:rPr>
        <w:t>by mělo</w:t>
      </w:r>
      <w:r w:rsidRPr="00655367">
        <w:rPr>
          <w:i/>
        </w:rPr>
        <w:t xml:space="preserve"> dojít ke korekci.</w:t>
      </w:r>
    </w:p>
    <w:p w14:paraId="08721604" w14:textId="65E680A3" w:rsidR="005F14DE" w:rsidRPr="00655367" w:rsidRDefault="005F14DE" w:rsidP="005F14DE">
      <w:pPr>
        <w:rPr>
          <w:i/>
        </w:rPr>
      </w:pPr>
      <w:r w:rsidRPr="00655367">
        <w:rPr>
          <w:i/>
        </w:rPr>
        <w:t>Věku dětí odpovídají dle druhého řádku tabulky hodnoty 8 %, 10</w:t>
      </w:r>
      <w:r>
        <w:rPr>
          <w:i/>
        </w:rPr>
        <w:t> </w:t>
      </w:r>
      <w:r w:rsidRPr="00655367">
        <w:rPr>
          <w:i/>
        </w:rPr>
        <w:t>%, 12</w:t>
      </w:r>
      <w:r>
        <w:rPr>
          <w:i/>
        </w:rPr>
        <w:t> </w:t>
      </w:r>
      <w:r w:rsidRPr="00655367">
        <w:rPr>
          <w:i/>
        </w:rPr>
        <w:t>% a 14 %. Uvedené hodnoty se sečtou (8 + 10 + 12 + 14 = 44). Částka orientačního maximálního výživného se touto hodnotou vydělí (</w:t>
      </w:r>
      <w:r w:rsidR="00500DF2" w:rsidRPr="00500DF2">
        <w:rPr>
          <w:bCs/>
          <w:i/>
        </w:rPr>
        <w:t>7</w:t>
      </w:r>
      <w:r w:rsidR="00500DF2">
        <w:rPr>
          <w:bCs/>
          <w:i/>
        </w:rPr>
        <w:t> </w:t>
      </w:r>
      <w:r w:rsidR="00500DF2" w:rsidRPr="00500DF2">
        <w:rPr>
          <w:bCs/>
          <w:i/>
        </w:rPr>
        <w:t>982</w:t>
      </w:r>
      <w:r w:rsidR="00500DF2">
        <w:rPr>
          <w:bCs/>
          <w:i/>
        </w:rPr>
        <w:t xml:space="preserve"> </w:t>
      </w:r>
      <w:r w:rsidR="004E2853">
        <w:rPr>
          <w:i/>
        </w:rPr>
        <w:t>8 198</w:t>
      </w:r>
      <w:r w:rsidR="009A4564">
        <w:rPr>
          <w:i/>
        </w:rPr>
        <w:t xml:space="preserve"> </w:t>
      </w:r>
      <w:r w:rsidRPr="00655367">
        <w:rPr>
          <w:i/>
        </w:rPr>
        <w:t xml:space="preserve">/ 44 = </w:t>
      </w:r>
      <w:r w:rsidR="00500DF2">
        <w:rPr>
          <w:i/>
        </w:rPr>
        <w:t>181,4</w:t>
      </w:r>
      <w:r w:rsidRPr="00655367">
        <w:rPr>
          <w:i/>
        </w:rPr>
        <w:t xml:space="preserve">). Výsledná mezihodnota se zpět vynásobí hodnotou podílu (v %) </w:t>
      </w:r>
      <w:r>
        <w:rPr>
          <w:i/>
        </w:rPr>
        <w:t xml:space="preserve">náležící ke </w:t>
      </w:r>
      <w:r w:rsidRPr="00655367">
        <w:rPr>
          <w:i/>
        </w:rPr>
        <w:t>každé</w:t>
      </w:r>
      <w:r>
        <w:rPr>
          <w:i/>
        </w:rPr>
        <w:t>mu</w:t>
      </w:r>
      <w:r w:rsidRPr="00655367">
        <w:rPr>
          <w:i/>
        </w:rPr>
        <w:t xml:space="preserve"> dítěte dle tabulky:</w:t>
      </w:r>
    </w:p>
    <w:p w14:paraId="1BC349CF" w14:textId="0C6D7BE7" w:rsidR="005F14DE" w:rsidRPr="00655367" w:rsidRDefault="005F14DE" w:rsidP="005F14DE">
      <w:pPr>
        <w:pStyle w:val="Odstavecseseznamem"/>
        <w:numPr>
          <w:ilvl w:val="0"/>
          <w:numId w:val="6"/>
        </w:numPr>
        <w:rPr>
          <w:i/>
        </w:rPr>
      </w:pPr>
      <w:r w:rsidRPr="00655367">
        <w:rPr>
          <w:i/>
        </w:rPr>
        <w:t xml:space="preserve">Pro 2leté dítě </w:t>
      </w:r>
      <w:r w:rsidR="00500DF2">
        <w:rPr>
          <w:i/>
        </w:rPr>
        <w:t>181,4</w:t>
      </w:r>
      <w:r w:rsidRPr="00655367">
        <w:rPr>
          <w:i/>
        </w:rPr>
        <w:t xml:space="preserve"> x 8 = </w:t>
      </w:r>
      <w:r w:rsidR="00500DF2" w:rsidRPr="00500DF2">
        <w:rPr>
          <w:i/>
        </w:rPr>
        <w:t>1</w:t>
      </w:r>
      <w:r w:rsidR="00500DF2">
        <w:rPr>
          <w:i/>
        </w:rPr>
        <w:t> </w:t>
      </w:r>
      <w:r w:rsidR="00500DF2" w:rsidRPr="00500DF2">
        <w:rPr>
          <w:i/>
        </w:rPr>
        <w:t>451</w:t>
      </w:r>
      <w:r w:rsidR="00500DF2">
        <w:rPr>
          <w:i/>
        </w:rPr>
        <w:t xml:space="preserve"> </w:t>
      </w:r>
      <w:r w:rsidRPr="00655367">
        <w:rPr>
          <w:i/>
        </w:rPr>
        <w:t>Kč</w:t>
      </w:r>
    </w:p>
    <w:p w14:paraId="2DF34013" w14:textId="35630D11" w:rsidR="005F14DE" w:rsidRPr="00655367" w:rsidRDefault="005F14DE" w:rsidP="005F14DE">
      <w:pPr>
        <w:pStyle w:val="Odstavecseseznamem"/>
        <w:numPr>
          <w:ilvl w:val="0"/>
          <w:numId w:val="6"/>
        </w:numPr>
        <w:rPr>
          <w:i/>
        </w:rPr>
      </w:pPr>
      <w:r w:rsidRPr="00655367">
        <w:rPr>
          <w:i/>
        </w:rPr>
        <w:t xml:space="preserve">Pro 7leté dítě </w:t>
      </w:r>
      <w:r w:rsidR="00500DF2">
        <w:rPr>
          <w:i/>
        </w:rPr>
        <w:t>181,4</w:t>
      </w:r>
      <w:r w:rsidR="00125305">
        <w:rPr>
          <w:i/>
        </w:rPr>
        <w:t xml:space="preserve"> </w:t>
      </w:r>
      <w:r>
        <w:rPr>
          <w:i/>
        </w:rPr>
        <w:t>x 10</w:t>
      </w:r>
      <w:r w:rsidRPr="00655367">
        <w:rPr>
          <w:i/>
        </w:rPr>
        <w:t xml:space="preserve"> = </w:t>
      </w:r>
      <w:r w:rsidR="00500DF2" w:rsidRPr="00500DF2">
        <w:rPr>
          <w:i/>
          <w:iCs/>
        </w:rPr>
        <w:t>1</w:t>
      </w:r>
      <w:r w:rsidR="00500DF2">
        <w:rPr>
          <w:i/>
          <w:iCs/>
        </w:rPr>
        <w:t> </w:t>
      </w:r>
      <w:r w:rsidR="00500DF2" w:rsidRPr="00500DF2">
        <w:rPr>
          <w:i/>
          <w:iCs/>
        </w:rPr>
        <w:t>814</w:t>
      </w:r>
      <w:r w:rsidR="00500DF2" w:rsidRPr="00500DF2">
        <w:rPr>
          <w:i/>
          <w:iCs/>
        </w:rPr>
        <w:t>‬</w:t>
      </w:r>
      <w:r w:rsidR="00500DF2">
        <w:rPr>
          <w:i/>
          <w:iCs/>
        </w:rPr>
        <w:t xml:space="preserve"> </w:t>
      </w:r>
      <w:r w:rsidRPr="00655367">
        <w:rPr>
          <w:i/>
          <w:iCs/>
        </w:rPr>
        <w:t xml:space="preserve">Kč  </w:t>
      </w:r>
    </w:p>
    <w:p w14:paraId="67EDE361" w14:textId="5F36FB26" w:rsidR="005F14DE" w:rsidRPr="00655367" w:rsidRDefault="005F14DE" w:rsidP="005F14DE">
      <w:pPr>
        <w:pStyle w:val="Odstavecseseznamem"/>
        <w:numPr>
          <w:ilvl w:val="0"/>
          <w:numId w:val="6"/>
        </w:numPr>
        <w:rPr>
          <w:i/>
        </w:rPr>
      </w:pPr>
      <w:r w:rsidRPr="00655367">
        <w:rPr>
          <w:i/>
        </w:rPr>
        <w:t xml:space="preserve">Pro 11leté dítě </w:t>
      </w:r>
      <w:r w:rsidR="00500DF2">
        <w:rPr>
          <w:i/>
        </w:rPr>
        <w:t>181,4</w:t>
      </w:r>
      <w:r>
        <w:rPr>
          <w:i/>
        </w:rPr>
        <w:t xml:space="preserve"> x 12</w:t>
      </w:r>
      <w:r w:rsidRPr="00655367">
        <w:rPr>
          <w:i/>
        </w:rPr>
        <w:t xml:space="preserve"> = </w:t>
      </w:r>
      <w:r w:rsidR="00500DF2" w:rsidRPr="00500DF2">
        <w:rPr>
          <w:i/>
          <w:iCs/>
        </w:rPr>
        <w:t>2</w:t>
      </w:r>
      <w:r w:rsidR="00500DF2">
        <w:rPr>
          <w:i/>
          <w:iCs/>
        </w:rPr>
        <w:t> </w:t>
      </w:r>
      <w:r w:rsidR="00500DF2" w:rsidRPr="00500DF2">
        <w:rPr>
          <w:i/>
          <w:iCs/>
        </w:rPr>
        <w:t>17</w:t>
      </w:r>
      <w:r w:rsidR="00500DF2">
        <w:rPr>
          <w:i/>
          <w:iCs/>
        </w:rPr>
        <w:t xml:space="preserve">7 </w:t>
      </w:r>
      <w:r w:rsidRPr="00655367">
        <w:rPr>
          <w:i/>
          <w:iCs/>
        </w:rPr>
        <w:t xml:space="preserve">Kč  </w:t>
      </w:r>
    </w:p>
    <w:p w14:paraId="2C38EF35" w14:textId="5B4DBD6A" w:rsidR="005F14DE" w:rsidRPr="00655367" w:rsidRDefault="005F14DE" w:rsidP="005F14DE">
      <w:pPr>
        <w:pStyle w:val="Odstavecseseznamem"/>
        <w:numPr>
          <w:ilvl w:val="0"/>
          <w:numId w:val="6"/>
        </w:numPr>
        <w:rPr>
          <w:i/>
        </w:rPr>
      </w:pPr>
      <w:r w:rsidRPr="00655367">
        <w:rPr>
          <w:i/>
        </w:rPr>
        <w:t xml:space="preserve">Pro 16leté dítě </w:t>
      </w:r>
      <w:r w:rsidR="00500DF2">
        <w:rPr>
          <w:i/>
        </w:rPr>
        <w:t>181,4</w:t>
      </w:r>
      <w:r w:rsidRPr="00655367">
        <w:rPr>
          <w:i/>
        </w:rPr>
        <w:t xml:space="preserve"> </w:t>
      </w:r>
      <w:r>
        <w:rPr>
          <w:i/>
        </w:rPr>
        <w:t>x 14</w:t>
      </w:r>
      <w:r w:rsidRPr="00655367">
        <w:rPr>
          <w:i/>
        </w:rPr>
        <w:t xml:space="preserve"> = </w:t>
      </w:r>
      <w:r w:rsidR="00500DF2" w:rsidRPr="00500DF2">
        <w:rPr>
          <w:i/>
          <w:iCs/>
        </w:rPr>
        <w:t>2</w:t>
      </w:r>
      <w:r w:rsidR="00500DF2">
        <w:rPr>
          <w:i/>
          <w:iCs/>
        </w:rPr>
        <w:t xml:space="preserve"> 540 </w:t>
      </w:r>
      <w:r w:rsidRPr="00655367">
        <w:rPr>
          <w:i/>
        </w:rPr>
        <w:t>Kč</w:t>
      </w:r>
    </w:p>
    <w:p w14:paraId="1F3D9E78" w14:textId="5EC6A4C4" w:rsidR="005F14DE" w:rsidRDefault="005F14DE" w:rsidP="005F14DE"/>
    <w:p w14:paraId="05ABCE65" w14:textId="34A166FB" w:rsidR="002821A7" w:rsidRPr="00FF4635" w:rsidRDefault="002821A7" w:rsidP="005F14DE">
      <w:pPr>
        <w:rPr>
          <w:i/>
          <w:iCs/>
        </w:rPr>
      </w:pPr>
      <w:r w:rsidRPr="00FF4635">
        <w:rPr>
          <w:i/>
          <w:iCs/>
        </w:rPr>
        <w:t xml:space="preserve">Pečuje-li o děti z prvního vztahu výlučně druhý rodič a na péči o </w:t>
      </w:r>
      <w:r w:rsidR="005A309F" w:rsidRPr="00FF4635">
        <w:rPr>
          <w:i/>
          <w:iCs/>
        </w:rPr>
        <w:t>2leté</w:t>
      </w:r>
      <w:r w:rsidRPr="00FF4635">
        <w:rPr>
          <w:i/>
          <w:iCs/>
        </w:rPr>
        <w:t xml:space="preserve"> dítě z dalšího vztahu se zaměstnanec reálně (tj. obstarávání</w:t>
      </w:r>
      <w:r w:rsidR="001D0C1B" w:rsidRPr="00FF4635">
        <w:rPr>
          <w:i/>
          <w:iCs/>
        </w:rPr>
        <w:t>m</w:t>
      </w:r>
      <w:r w:rsidRPr="00FF4635">
        <w:rPr>
          <w:i/>
          <w:iCs/>
        </w:rPr>
        <w:t xml:space="preserve"> obvyklých potřeb dítěte) podílí 10 dny v</w:t>
      </w:r>
      <w:r w:rsidR="001D0C1B" w:rsidRPr="00FF4635">
        <w:rPr>
          <w:i/>
          <w:iCs/>
        </w:rPr>
        <w:t xml:space="preserve"> měsíci, dojde k následující korekci: </w:t>
      </w:r>
    </w:p>
    <w:p w14:paraId="49B8D9AB" w14:textId="77777777" w:rsidR="001D0C1B" w:rsidRPr="00FF4635" w:rsidRDefault="001D0C1B" w:rsidP="00FF4635">
      <w:pPr>
        <w:rPr>
          <w:i/>
          <w:iCs/>
        </w:rPr>
      </w:pPr>
      <w:r w:rsidRPr="00FF4635">
        <w:rPr>
          <w:i/>
          <w:iCs/>
        </w:rPr>
        <w:lastRenderedPageBreak/>
        <w:t>Podle bodu 4. výše (Míra péče a styku s dítětem) se vypočítají částky výživného v závislosti n</w:t>
      </w:r>
      <w:r w:rsidRPr="000D52E2">
        <w:rPr>
          <w:i/>
          <w:iCs/>
        </w:rPr>
        <w:t>a</w:t>
      </w:r>
      <w:r w:rsidRPr="00FF4635">
        <w:rPr>
          <w:i/>
          <w:iCs/>
        </w:rPr>
        <w:t xml:space="preserve"> péči pro jednotlivé děti – tj. </w:t>
      </w:r>
    </w:p>
    <w:p w14:paraId="20674E75" w14:textId="542ADE4F" w:rsidR="001D0C1B" w:rsidRPr="00FF4635" w:rsidRDefault="001D0C1B" w:rsidP="001D0C1B">
      <w:pPr>
        <w:pStyle w:val="Odstavecseseznamem"/>
        <w:numPr>
          <w:ilvl w:val="0"/>
          <w:numId w:val="6"/>
        </w:numPr>
        <w:rPr>
          <w:i/>
          <w:iCs/>
        </w:rPr>
      </w:pPr>
      <w:r w:rsidRPr="00FF4635">
        <w:rPr>
          <w:i/>
          <w:iCs/>
        </w:rPr>
        <w:t xml:space="preserve">Pro 2leté dítě = </w:t>
      </w:r>
      <w:r w:rsidR="006D7C89">
        <w:rPr>
          <w:i/>
          <w:iCs/>
        </w:rPr>
        <w:t>1 342</w:t>
      </w:r>
      <w:r w:rsidR="006D7C89" w:rsidRPr="00FF4635">
        <w:rPr>
          <w:i/>
          <w:iCs/>
        </w:rPr>
        <w:t xml:space="preserve"> </w:t>
      </w:r>
      <w:r w:rsidRPr="00FF4635">
        <w:rPr>
          <w:i/>
          <w:iCs/>
        </w:rPr>
        <w:t>Kč</w:t>
      </w:r>
    </w:p>
    <w:p w14:paraId="36399C3F" w14:textId="7AD333C7" w:rsidR="001D0C1B" w:rsidRPr="00A943BB" w:rsidRDefault="001D0C1B" w:rsidP="001D0C1B">
      <w:pPr>
        <w:pStyle w:val="Odstavecseseznamem"/>
        <w:numPr>
          <w:ilvl w:val="0"/>
          <w:numId w:val="6"/>
        </w:numPr>
        <w:rPr>
          <w:i/>
          <w:iCs/>
        </w:rPr>
      </w:pPr>
      <w:r w:rsidRPr="00A943BB">
        <w:rPr>
          <w:i/>
          <w:iCs/>
        </w:rPr>
        <w:t xml:space="preserve">Pro 7leté dítě = </w:t>
      </w:r>
      <w:r w:rsidR="006D7C89">
        <w:rPr>
          <w:i/>
          <w:iCs/>
        </w:rPr>
        <w:t>2 500</w:t>
      </w:r>
      <w:r w:rsidRPr="00FF4635">
        <w:rPr>
          <w:i/>
          <w:iCs/>
        </w:rPr>
        <w:t xml:space="preserve"> Kč  </w:t>
      </w:r>
    </w:p>
    <w:p w14:paraId="5B2BEA23" w14:textId="7B7EE425" w:rsidR="001D0C1B" w:rsidRPr="00A943BB" w:rsidRDefault="001D0C1B" w:rsidP="001D0C1B">
      <w:pPr>
        <w:pStyle w:val="Odstavecseseznamem"/>
        <w:numPr>
          <w:ilvl w:val="0"/>
          <w:numId w:val="6"/>
        </w:numPr>
        <w:rPr>
          <w:i/>
          <w:iCs/>
        </w:rPr>
      </w:pPr>
      <w:r w:rsidRPr="00CC67CA">
        <w:rPr>
          <w:i/>
          <w:iCs/>
        </w:rPr>
        <w:t xml:space="preserve">Pro 11leté dítě = </w:t>
      </w:r>
      <w:r w:rsidR="006D7C89">
        <w:rPr>
          <w:i/>
          <w:iCs/>
        </w:rPr>
        <w:t>3 000</w:t>
      </w:r>
      <w:r w:rsidRPr="00FF4635">
        <w:rPr>
          <w:i/>
          <w:iCs/>
        </w:rPr>
        <w:t xml:space="preserve"> Kč  </w:t>
      </w:r>
    </w:p>
    <w:p w14:paraId="3EC224F8" w14:textId="2EE9AE2F" w:rsidR="001D0C1B" w:rsidRPr="00CC67CA" w:rsidRDefault="001D0C1B" w:rsidP="001D0C1B">
      <w:pPr>
        <w:pStyle w:val="Odstavecseseznamem"/>
        <w:numPr>
          <w:ilvl w:val="0"/>
          <w:numId w:val="6"/>
        </w:numPr>
        <w:rPr>
          <w:i/>
          <w:iCs/>
        </w:rPr>
      </w:pPr>
      <w:r w:rsidRPr="00CC67CA">
        <w:rPr>
          <w:i/>
          <w:iCs/>
        </w:rPr>
        <w:t xml:space="preserve">Pro 16leté dítě = </w:t>
      </w:r>
      <w:r w:rsidR="006D7C89">
        <w:rPr>
          <w:i/>
          <w:iCs/>
        </w:rPr>
        <w:t>3 500</w:t>
      </w:r>
      <w:r w:rsidRPr="00A943BB">
        <w:rPr>
          <w:i/>
          <w:iCs/>
        </w:rPr>
        <w:t>Kč</w:t>
      </w:r>
    </w:p>
    <w:p w14:paraId="05D3057D" w14:textId="38C44C86" w:rsidR="001D0C1B" w:rsidRPr="00FF4635" w:rsidRDefault="001D0C1B" w:rsidP="00FF4635">
      <w:pPr>
        <w:pStyle w:val="Nadpis2"/>
        <w:numPr>
          <w:ilvl w:val="0"/>
          <w:numId w:val="0"/>
        </w:numPr>
        <w:spacing w:after="160"/>
        <w:jc w:val="both"/>
        <w:rPr>
          <w:b w:val="0"/>
          <w:bCs w:val="0"/>
          <w:i/>
        </w:rPr>
      </w:pPr>
      <w:r w:rsidRPr="00FF4635">
        <w:rPr>
          <w:b w:val="0"/>
          <w:bCs w:val="0"/>
          <w:i/>
        </w:rPr>
        <w:t xml:space="preserve">Součet těchto částek činí </w:t>
      </w:r>
      <w:r w:rsidR="006D7C89">
        <w:rPr>
          <w:b w:val="0"/>
          <w:bCs w:val="0"/>
          <w:i/>
        </w:rPr>
        <w:t>10 342</w:t>
      </w:r>
      <w:r w:rsidRPr="00FF4635">
        <w:rPr>
          <w:b w:val="0"/>
          <w:bCs w:val="0"/>
          <w:i/>
        </w:rPr>
        <w:t xml:space="preserve"> Kč</w:t>
      </w:r>
      <w:r w:rsidR="00FF4635" w:rsidRPr="00FF4635">
        <w:rPr>
          <w:b w:val="0"/>
          <w:bCs w:val="0"/>
          <w:i/>
        </w:rPr>
        <w:t>, což je více než orientační maximální celková výše výživného</w:t>
      </w:r>
      <w:r w:rsidRPr="00FF4635">
        <w:rPr>
          <w:b w:val="0"/>
          <w:bCs w:val="0"/>
          <w:i/>
        </w:rPr>
        <w:t>. Vydělením částek výživného v </w:t>
      </w:r>
      <w:r w:rsidR="00FF4635" w:rsidRPr="00FF4635">
        <w:rPr>
          <w:b w:val="0"/>
          <w:bCs w:val="0"/>
          <w:i/>
        </w:rPr>
        <w:t>závislosti</w:t>
      </w:r>
      <w:r w:rsidRPr="00FF4635">
        <w:rPr>
          <w:b w:val="0"/>
          <w:bCs w:val="0"/>
          <w:i/>
        </w:rPr>
        <w:t xml:space="preserve"> na péči </w:t>
      </w:r>
      <w:r w:rsidR="00FF4635" w:rsidRPr="00FF4635">
        <w:rPr>
          <w:b w:val="0"/>
          <w:bCs w:val="0"/>
          <w:i/>
        </w:rPr>
        <w:t xml:space="preserve">pro jednotlivé děti </w:t>
      </w:r>
      <w:r w:rsidRPr="00FF4635">
        <w:rPr>
          <w:b w:val="0"/>
          <w:bCs w:val="0"/>
          <w:i/>
        </w:rPr>
        <w:t>tímto součtem dostaneme mezihodnotu</w:t>
      </w:r>
      <w:r w:rsidR="00FF4635" w:rsidRPr="00FF4635">
        <w:rPr>
          <w:b w:val="0"/>
          <w:bCs w:val="0"/>
          <w:i/>
        </w:rPr>
        <w:t xml:space="preserve"> pro každé jednotlivé dítě</w:t>
      </w:r>
      <w:r w:rsidRPr="00FF4635">
        <w:rPr>
          <w:b w:val="0"/>
          <w:bCs w:val="0"/>
          <w:i/>
        </w:rPr>
        <w:t xml:space="preserve">. Touto </w:t>
      </w:r>
      <w:r w:rsidR="00FF4635" w:rsidRPr="00FF4635">
        <w:rPr>
          <w:b w:val="0"/>
          <w:bCs w:val="0"/>
          <w:i/>
        </w:rPr>
        <w:t xml:space="preserve">mezihodnotou pak vynásobíme orientační maximální výši výživného a dostaneme finální částky výživného náležející jednotlivým dětem: </w:t>
      </w:r>
    </w:p>
    <w:p w14:paraId="7C607970" w14:textId="56039365" w:rsidR="00FF4635" w:rsidRPr="00A67D4F" w:rsidRDefault="00FF4635" w:rsidP="00FF4635">
      <w:pPr>
        <w:pStyle w:val="Odstavecseseznamem"/>
        <w:numPr>
          <w:ilvl w:val="0"/>
          <w:numId w:val="6"/>
        </w:numPr>
        <w:rPr>
          <w:i/>
        </w:rPr>
      </w:pPr>
      <w:r w:rsidRPr="00655367">
        <w:rPr>
          <w:i/>
        </w:rPr>
        <w:t xml:space="preserve">Pro 2leté dítě </w:t>
      </w:r>
      <w:r w:rsidR="006D7C89">
        <w:rPr>
          <w:i/>
        </w:rPr>
        <w:t xml:space="preserve">1 342 </w:t>
      </w:r>
      <w:r>
        <w:rPr>
          <w:i/>
        </w:rPr>
        <w:t>Kč</w:t>
      </w:r>
      <w:r w:rsidR="00A943BB">
        <w:rPr>
          <w:i/>
        </w:rPr>
        <w:t xml:space="preserve"> </w:t>
      </w:r>
      <w:r>
        <w:rPr>
          <w:i/>
        </w:rPr>
        <w:t>/</w:t>
      </w:r>
      <w:r w:rsidR="00A943BB">
        <w:rPr>
          <w:i/>
        </w:rPr>
        <w:t xml:space="preserve"> </w:t>
      </w:r>
      <w:r w:rsidR="006D7C89" w:rsidRPr="006D7C89">
        <w:rPr>
          <w:i/>
        </w:rPr>
        <w:t xml:space="preserve">10 342 </w:t>
      </w:r>
      <w:r w:rsidRPr="00A67D4F">
        <w:rPr>
          <w:i/>
        </w:rPr>
        <w:t>Kč</w:t>
      </w:r>
      <w:r w:rsidR="005A309F" w:rsidRPr="00A67D4F">
        <w:rPr>
          <w:i/>
        </w:rPr>
        <w:t xml:space="preserve"> x </w:t>
      </w:r>
      <w:r w:rsidR="009563F3" w:rsidRPr="00500DF2">
        <w:rPr>
          <w:bCs/>
          <w:i/>
        </w:rPr>
        <w:t>7</w:t>
      </w:r>
      <w:r w:rsidR="009563F3">
        <w:rPr>
          <w:bCs/>
          <w:i/>
        </w:rPr>
        <w:t> </w:t>
      </w:r>
      <w:r w:rsidR="009563F3" w:rsidRPr="00500DF2">
        <w:rPr>
          <w:bCs/>
          <w:i/>
        </w:rPr>
        <w:t>982</w:t>
      </w:r>
      <w:r w:rsidR="009563F3">
        <w:rPr>
          <w:bCs/>
          <w:i/>
        </w:rPr>
        <w:t xml:space="preserve"> </w:t>
      </w:r>
      <w:r w:rsidRPr="00A67D4F">
        <w:rPr>
          <w:i/>
        </w:rPr>
        <w:t xml:space="preserve">Kč = </w:t>
      </w:r>
      <w:r w:rsidR="009563F3">
        <w:rPr>
          <w:i/>
        </w:rPr>
        <w:t>1 037</w:t>
      </w:r>
      <w:r w:rsidR="003A009F" w:rsidRPr="00A67D4F">
        <w:rPr>
          <w:i/>
        </w:rPr>
        <w:t xml:space="preserve"> </w:t>
      </w:r>
      <w:r w:rsidRPr="00A67D4F">
        <w:rPr>
          <w:i/>
        </w:rPr>
        <w:t>Kč</w:t>
      </w:r>
    </w:p>
    <w:p w14:paraId="1C1FC35D" w14:textId="1CD9DB0B" w:rsidR="00FF4635" w:rsidRPr="00A67D4F" w:rsidRDefault="00FF4635" w:rsidP="00FF4635">
      <w:pPr>
        <w:pStyle w:val="Odstavecseseznamem"/>
        <w:numPr>
          <w:ilvl w:val="0"/>
          <w:numId w:val="6"/>
        </w:numPr>
        <w:rPr>
          <w:i/>
        </w:rPr>
      </w:pPr>
      <w:r w:rsidRPr="00A67D4F">
        <w:rPr>
          <w:i/>
        </w:rPr>
        <w:t xml:space="preserve">Pro 7leté dítě </w:t>
      </w:r>
      <w:r w:rsidR="006D7C89" w:rsidRPr="00A67D4F">
        <w:rPr>
          <w:i/>
        </w:rPr>
        <w:t>2 500</w:t>
      </w:r>
      <w:r w:rsidRPr="00A67D4F">
        <w:rPr>
          <w:i/>
          <w:iCs/>
        </w:rPr>
        <w:t xml:space="preserve"> Kč</w:t>
      </w:r>
      <w:r w:rsidR="00A943BB" w:rsidRPr="00A67D4F">
        <w:rPr>
          <w:i/>
          <w:iCs/>
        </w:rPr>
        <w:t xml:space="preserve"> </w:t>
      </w:r>
      <w:r w:rsidRPr="00A67D4F">
        <w:rPr>
          <w:i/>
          <w:iCs/>
        </w:rPr>
        <w:t>/</w:t>
      </w:r>
      <w:r w:rsidR="00A943BB" w:rsidRPr="00A67D4F">
        <w:rPr>
          <w:i/>
          <w:iCs/>
        </w:rPr>
        <w:t xml:space="preserve"> </w:t>
      </w:r>
      <w:r w:rsidR="006D7C89" w:rsidRPr="006D7C89">
        <w:rPr>
          <w:i/>
        </w:rPr>
        <w:t xml:space="preserve">10 342 </w:t>
      </w:r>
      <w:r w:rsidR="005A309F" w:rsidRPr="00A67D4F">
        <w:rPr>
          <w:i/>
          <w:iCs/>
        </w:rPr>
        <w:t xml:space="preserve">x </w:t>
      </w:r>
      <w:r w:rsidR="009563F3" w:rsidRPr="00500DF2">
        <w:rPr>
          <w:bCs/>
          <w:i/>
        </w:rPr>
        <w:t>7</w:t>
      </w:r>
      <w:r w:rsidR="009563F3">
        <w:rPr>
          <w:bCs/>
          <w:i/>
        </w:rPr>
        <w:t> </w:t>
      </w:r>
      <w:r w:rsidR="009563F3" w:rsidRPr="00500DF2">
        <w:rPr>
          <w:bCs/>
          <w:i/>
        </w:rPr>
        <w:t>982</w:t>
      </w:r>
      <w:r w:rsidR="009563F3">
        <w:rPr>
          <w:bCs/>
          <w:i/>
        </w:rPr>
        <w:t xml:space="preserve"> </w:t>
      </w:r>
      <w:r w:rsidRPr="00A67D4F">
        <w:rPr>
          <w:i/>
          <w:iCs/>
        </w:rPr>
        <w:t xml:space="preserve">Kč = </w:t>
      </w:r>
      <w:r w:rsidR="009563F3">
        <w:rPr>
          <w:i/>
          <w:iCs/>
        </w:rPr>
        <w:t>1 930</w:t>
      </w:r>
      <w:r w:rsidR="00A67D4F" w:rsidRPr="00A67D4F">
        <w:rPr>
          <w:i/>
          <w:iCs/>
        </w:rPr>
        <w:t xml:space="preserve"> </w:t>
      </w:r>
      <w:r w:rsidR="008E51BE" w:rsidRPr="00A67D4F">
        <w:rPr>
          <w:i/>
          <w:iCs/>
        </w:rPr>
        <w:t>Kč</w:t>
      </w:r>
      <w:r w:rsidRPr="00A67D4F">
        <w:rPr>
          <w:i/>
          <w:iCs/>
        </w:rPr>
        <w:t xml:space="preserve">  </w:t>
      </w:r>
    </w:p>
    <w:p w14:paraId="09967C10" w14:textId="0ECBDB7A" w:rsidR="00FF4635" w:rsidRPr="00A67D4F" w:rsidRDefault="00FF4635" w:rsidP="00FF4635">
      <w:pPr>
        <w:pStyle w:val="Odstavecseseznamem"/>
        <w:numPr>
          <w:ilvl w:val="0"/>
          <w:numId w:val="6"/>
        </w:numPr>
        <w:rPr>
          <w:i/>
        </w:rPr>
      </w:pPr>
      <w:r w:rsidRPr="00A67D4F">
        <w:rPr>
          <w:i/>
        </w:rPr>
        <w:t xml:space="preserve">Pro 11leté dítě </w:t>
      </w:r>
      <w:r w:rsidR="006D7C89" w:rsidRPr="00A67D4F">
        <w:rPr>
          <w:i/>
        </w:rPr>
        <w:t>3 000</w:t>
      </w:r>
      <w:r w:rsidRPr="00A67D4F">
        <w:rPr>
          <w:i/>
          <w:iCs/>
        </w:rPr>
        <w:t xml:space="preserve"> Kč</w:t>
      </w:r>
      <w:r w:rsidR="00A943BB" w:rsidRPr="00A67D4F">
        <w:rPr>
          <w:i/>
          <w:iCs/>
        </w:rPr>
        <w:t xml:space="preserve"> </w:t>
      </w:r>
      <w:r w:rsidRPr="00A67D4F">
        <w:rPr>
          <w:i/>
          <w:iCs/>
        </w:rPr>
        <w:t>/</w:t>
      </w:r>
      <w:r w:rsidR="00A943BB" w:rsidRPr="00A67D4F">
        <w:rPr>
          <w:i/>
          <w:iCs/>
        </w:rPr>
        <w:t xml:space="preserve"> </w:t>
      </w:r>
      <w:r w:rsidR="006D7C89" w:rsidRPr="006D7C89">
        <w:rPr>
          <w:i/>
        </w:rPr>
        <w:t xml:space="preserve">10 342 </w:t>
      </w:r>
      <w:r w:rsidR="005A309F" w:rsidRPr="00A67D4F">
        <w:rPr>
          <w:i/>
          <w:iCs/>
        </w:rPr>
        <w:t xml:space="preserve">x </w:t>
      </w:r>
      <w:r w:rsidR="009563F3" w:rsidRPr="00500DF2">
        <w:rPr>
          <w:bCs/>
          <w:i/>
        </w:rPr>
        <w:t>7</w:t>
      </w:r>
      <w:r w:rsidR="009563F3">
        <w:rPr>
          <w:bCs/>
          <w:i/>
        </w:rPr>
        <w:t> </w:t>
      </w:r>
      <w:r w:rsidR="009563F3" w:rsidRPr="00500DF2">
        <w:rPr>
          <w:bCs/>
          <w:i/>
        </w:rPr>
        <w:t>982</w:t>
      </w:r>
      <w:r w:rsidR="009563F3">
        <w:rPr>
          <w:bCs/>
          <w:i/>
        </w:rPr>
        <w:t xml:space="preserve"> </w:t>
      </w:r>
      <w:r w:rsidRPr="00A67D4F">
        <w:rPr>
          <w:i/>
          <w:iCs/>
        </w:rPr>
        <w:t>Kč</w:t>
      </w:r>
      <w:r w:rsidRPr="00A67D4F">
        <w:rPr>
          <w:i/>
        </w:rPr>
        <w:t xml:space="preserve"> = </w:t>
      </w:r>
      <w:r w:rsidR="009563F3">
        <w:rPr>
          <w:i/>
          <w:iCs/>
        </w:rPr>
        <w:t>2 315</w:t>
      </w:r>
      <w:r w:rsidRPr="00A67D4F">
        <w:rPr>
          <w:i/>
          <w:iCs/>
        </w:rPr>
        <w:t xml:space="preserve"> Kč  </w:t>
      </w:r>
    </w:p>
    <w:p w14:paraId="6D222AE8" w14:textId="3DE9A718" w:rsidR="00FF4635" w:rsidRPr="00655367" w:rsidRDefault="00FF4635" w:rsidP="00FF4635">
      <w:pPr>
        <w:pStyle w:val="Odstavecseseznamem"/>
        <w:numPr>
          <w:ilvl w:val="0"/>
          <w:numId w:val="6"/>
        </w:numPr>
        <w:rPr>
          <w:i/>
        </w:rPr>
      </w:pPr>
      <w:r w:rsidRPr="00A67D4F">
        <w:rPr>
          <w:i/>
        </w:rPr>
        <w:t xml:space="preserve">Pro 16leté dítě </w:t>
      </w:r>
      <w:r w:rsidR="006D7C89" w:rsidRPr="00A67D4F">
        <w:rPr>
          <w:i/>
        </w:rPr>
        <w:t>3 500</w:t>
      </w:r>
      <w:r w:rsidRPr="00A67D4F">
        <w:rPr>
          <w:i/>
          <w:iCs/>
        </w:rPr>
        <w:t xml:space="preserve"> Kč</w:t>
      </w:r>
      <w:r w:rsidR="00A943BB" w:rsidRPr="00A67D4F">
        <w:rPr>
          <w:i/>
          <w:iCs/>
        </w:rPr>
        <w:t xml:space="preserve"> </w:t>
      </w:r>
      <w:r w:rsidRPr="00A67D4F">
        <w:rPr>
          <w:i/>
          <w:iCs/>
        </w:rPr>
        <w:t>/</w:t>
      </w:r>
      <w:r w:rsidR="00A943BB" w:rsidRPr="00A67D4F">
        <w:rPr>
          <w:i/>
          <w:iCs/>
        </w:rPr>
        <w:t xml:space="preserve"> </w:t>
      </w:r>
      <w:r w:rsidR="006D7C89" w:rsidRPr="006D7C89">
        <w:rPr>
          <w:i/>
        </w:rPr>
        <w:t>10 342</w:t>
      </w:r>
      <w:r w:rsidR="006D7C89" w:rsidRPr="00FF4635">
        <w:rPr>
          <w:i/>
        </w:rPr>
        <w:t xml:space="preserve"> </w:t>
      </w:r>
      <w:r w:rsidR="005A309F">
        <w:rPr>
          <w:i/>
          <w:iCs/>
        </w:rPr>
        <w:t xml:space="preserve">x </w:t>
      </w:r>
      <w:r w:rsidR="009563F3" w:rsidRPr="00500DF2">
        <w:rPr>
          <w:bCs/>
          <w:i/>
        </w:rPr>
        <w:t>7</w:t>
      </w:r>
      <w:r w:rsidR="009563F3">
        <w:rPr>
          <w:bCs/>
          <w:i/>
        </w:rPr>
        <w:t> </w:t>
      </w:r>
      <w:r w:rsidR="009563F3" w:rsidRPr="00500DF2">
        <w:rPr>
          <w:bCs/>
          <w:i/>
        </w:rPr>
        <w:t>982</w:t>
      </w:r>
      <w:r w:rsidR="009563F3">
        <w:rPr>
          <w:bCs/>
          <w:i/>
        </w:rPr>
        <w:t xml:space="preserve"> </w:t>
      </w:r>
      <w:r>
        <w:rPr>
          <w:i/>
          <w:iCs/>
        </w:rPr>
        <w:t xml:space="preserve">Kč </w:t>
      </w:r>
      <w:r w:rsidRPr="00655367">
        <w:rPr>
          <w:i/>
        </w:rPr>
        <w:t xml:space="preserve">= </w:t>
      </w:r>
      <w:r w:rsidR="009563F3">
        <w:rPr>
          <w:i/>
          <w:iCs/>
        </w:rPr>
        <w:t>2 701</w:t>
      </w:r>
      <w:r w:rsidR="00A67D4F">
        <w:rPr>
          <w:i/>
          <w:iCs/>
        </w:rPr>
        <w:t xml:space="preserve"> </w:t>
      </w:r>
      <w:r w:rsidRPr="00655367">
        <w:rPr>
          <w:i/>
        </w:rPr>
        <w:t>Kč</w:t>
      </w:r>
    </w:p>
    <w:p w14:paraId="19F52FBF" w14:textId="0B8630AE" w:rsidR="005F14DE" w:rsidRPr="00380400" w:rsidRDefault="005F14DE" w:rsidP="005F14DE"/>
    <w:p w14:paraId="6E35772B" w14:textId="77777777" w:rsidR="005F14DE" w:rsidRPr="000A4EC3" w:rsidRDefault="005F14DE" w:rsidP="005F14DE"/>
    <w:p w14:paraId="0482CC5E" w14:textId="77777777" w:rsidR="00B5608E" w:rsidRDefault="00B5608E"/>
    <w:sectPr w:rsidR="00B5608E" w:rsidSect="002811BC">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D147" w14:textId="77777777" w:rsidR="00EC5824" w:rsidRDefault="00EC5824" w:rsidP="005F14DE">
      <w:pPr>
        <w:spacing w:after="0" w:line="240" w:lineRule="auto"/>
      </w:pPr>
      <w:r>
        <w:separator/>
      </w:r>
    </w:p>
  </w:endnote>
  <w:endnote w:type="continuationSeparator" w:id="0">
    <w:p w14:paraId="7E28BFE1" w14:textId="77777777" w:rsidR="00EC5824" w:rsidRDefault="00EC5824" w:rsidP="005F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457532368"/>
      <w:docPartObj>
        <w:docPartGallery w:val="Page Numbers (Bottom of Page)"/>
        <w:docPartUnique/>
      </w:docPartObj>
    </w:sdtPr>
    <w:sdtEndPr/>
    <w:sdtContent>
      <w:p w14:paraId="3009CAE2" w14:textId="77777777" w:rsidR="009563F3" w:rsidRPr="00DA228C" w:rsidRDefault="005F14DE" w:rsidP="002811BC">
        <w:pPr>
          <w:pStyle w:val="Zpat"/>
          <w:jc w:val="right"/>
          <w:rPr>
            <w:rFonts w:cs="Times New Roman"/>
          </w:rPr>
        </w:pPr>
        <w:r w:rsidRPr="00DA228C">
          <w:rPr>
            <w:rFonts w:cs="Times New Roman"/>
          </w:rPr>
          <w:fldChar w:fldCharType="begin"/>
        </w:r>
        <w:r w:rsidRPr="00DA228C">
          <w:rPr>
            <w:rFonts w:cs="Times New Roman"/>
          </w:rPr>
          <w:instrText>PAGE   \* MERGEFORMAT</w:instrText>
        </w:r>
        <w:r w:rsidRPr="00DA228C">
          <w:rPr>
            <w:rFonts w:cs="Times New Roman"/>
          </w:rPr>
          <w:fldChar w:fldCharType="separate"/>
        </w:r>
        <w:r>
          <w:rPr>
            <w:rFonts w:cs="Times New Roman"/>
            <w:noProof/>
          </w:rPr>
          <w:t>8</w:t>
        </w:r>
        <w:r w:rsidRPr="00DA228C">
          <w:rPr>
            <w:rFonts w:cs="Times New Roman"/>
          </w:rPr>
          <w:fldChar w:fldCharType="end"/>
        </w:r>
      </w:p>
    </w:sdtContent>
  </w:sdt>
  <w:p w14:paraId="02B90EDC" w14:textId="77777777" w:rsidR="009563F3" w:rsidRPr="00DA228C" w:rsidRDefault="009563F3" w:rsidP="002811BC">
    <w:pPr>
      <w:pStyle w:val="Zpat"/>
      <w:jc w:val="righ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801681"/>
      <w:docPartObj>
        <w:docPartGallery w:val="Page Numbers (Bottom of Page)"/>
        <w:docPartUnique/>
      </w:docPartObj>
    </w:sdtPr>
    <w:sdtEndPr/>
    <w:sdtContent>
      <w:p w14:paraId="447C9789" w14:textId="77777777" w:rsidR="009563F3" w:rsidRDefault="009563F3">
        <w:pPr>
          <w:pStyle w:val="Zpat"/>
          <w:jc w:val="right"/>
        </w:pPr>
      </w:p>
    </w:sdtContent>
  </w:sdt>
  <w:p w14:paraId="7ACE496B" w14:textId="77777777" w:rsidR="009563F3" w:rsidRDefault="009563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DAD5" w14:textId="77777777" w:rsidR="00EC5824" w:rsidRDefault="00EC5824" w:rsidP="005F14DE">
      <w:pPr>
        <w:spacing w:after="0" w:line="240" w:lineRule="auto"/>
      </w:pPr>
      <w:r>
        <w:separator/>
      </w:r>
    </w:p>
  </w:footnote>
  <w:footnote w:type="continuationSeparator" w:id="0">
    <w:p w14:paraId="14BFC46B" w14:textId="77777777" w:rsidR="00EC5824" w:rsidRDefault="00EC5824" w:rsidP="005F14DE">
      <w:pPr>
        <w:spacing w:after="0" w:line="240" w:lineRule="auto"/>
      </w:pPr>
      <w:r>
        <w:continuationSeparator/>
      </w:r>
    </w:p>
  </w:footnote>
  <w:footnote w:id="1">
    <w:p w14:paraId="5CA7FC9D" w14:textId="77777777" w:rsidR="005F14DE" w:rsidRPr="002052D5" w:rsidRDefault="005F14DE" w:rsidP="005F14DE">
      <w:pPr>
        <w:pStyle w:val="Textpoznpodarou"/>
        <w:rPr>
          <w:rFonts w:cs="Times New Roman"/>
        </w:rPr>
      </w:pPr>
      <w:r w:rsidRPr="002052D5">
        <w:rPr>
          <w:rStyle w:val="Znakapoznpodarou"/>
          <w:rFonts w:cs="Times New Roman"/>
        </w:rPr>
        <w:footnoteRef/>
      </w:r>
      <w:r w:rsidRPr="002052D5">
        <w:rPr>
          <w:rFonts w:cs="Times New Roman"/>
        </w:rPr>
        <w:t xml:space="preserve"> Materiál je dostupný na </w:t>
      </w:r>
      <w:r>
        <w:rPr>
          <w:rFonts w:cs="Times New Roman"/>
        </w:rPr>
        <w:t>internetových stránkách</w:t>
      </w:r>
      <w:r w:rsidRPr="002052D5">
        <w:rPr>
          <w:rFonts w:cs="Times New Roman"/>
        </w:rPr>
        <w:t xml:space="preserve"> Ministerstva spravedlnosti </w:t>
      </w:r>
      <w:hyperlink r:id="rId1" w:history="1">
        <w:r w:rsidRPr="00EF6A7F">
          <w:rPr>
            <w:rStyle w:val="Hypertextovodkaz"/>
            <w:rFonts w:cs="Times New Roman"/>
          </w:rPr>
          <w:t>zde</w:t>
        </w:r>
      </w:hyperlink>
      <w:r>
        <w:rPr>
          <w:rFonts w:cs="Times New Roman"/>
        </w:rPr>
        <w:t>.</w:t>
      </w:r>
    </w:p>
  </w:footnote>
  <w:footnote w:id="2">
    <w:p w14:paraId="3392E89B" w14:textId="77777777" w:rsidR="005F14DE" w:rsidRPr="002052D5" w:rsidRDefault="005F14DE" w:rsidP="005F14DE">
      <w:pPr>
        <w:pStyle w:val="Textpoznpodarou"/>
        <w:rPr>
          <w:rFonts w:cs="Times New Roman"/>
        </w:rPr>
      </w:pPr>
      <w:r w:rsidRPr="002052D5">
        <w:rPr>
          <w:rStyle w:val="Znakapoznpodarou"/>
          <w:rFonts w:cs="Times New Roman"/>
        </w:rPr>
        <w:footnoteRef/>
      </w:r>
      <w:r w:rsidRPr="002052D5">
        <w:rPr>
          <w:rFonts w:cs="Times New Roman"/>
        </w:rPr>
        <w:t xml:space="preserve"> Srov. ustanovení § 910 a násl. zákona č. 89/2012 Sb., občanský zákoník, ve znění pozdějších předpisů. Tento zákon je dostupný např. zde: </w:t>
      </w:r>
      <w:hyperlink r:id="rId2" w:history="1">
        <w:r w:rsidRPr="002052D5">
          <w:rPr>
            <w:rStyle w:val="Hypertextovodkaz"/>
            <w:rFonts w:cs="Times New Roman"/>
          </w:rPr>
          <w:t>https://www.zakonyprolidi.cz/cs/2012-89</w:t>
        </w:r>
      </w:hyperlink>
      <w:r w:rsidRPr="002052D5">
        <w:rPr>
          <w:rFonts w:cs="Times New Roman"/>
        </w:rPr>
        <w:t xml:space="preserve">.   </w:t>
      </w:r>
    </w:p>
  </w:footnote>
  <w:footnote w:id="3">
    <w:p w14:paraId="25F2466C" w14:textId="77777777" w:rsidR="005F14DE" w:rsidRPr="002052D5" w:rsidRDefault="005F14DE" w:rsidP="005F14DE">
      <w:pPr>
        <w:pStyle w:val="Textpoznpodarou"/>
        <w:rPr>
          <w:rFonts w:cs="Times New Roman"/>
        </w:rPr>
      </w:pPr>
      <w:r w:rsidRPr="002052D5">
        <w:rPr>
          <w:rStyle w:val="Znakapoznpodarou"/>
          <w:rFonts w:cs="Times New Roman"/>
        </w:rPr>
        <w:footnoteRef/>
      </w:r>
      <w:r>
        <w:rPr>
          <w:rFonts w:cs="Times New Roman"/>
        </w:rPr>
        <w:t xml:space="preserve"> Například </w:t>
      </w:r>
      <w:r w:rsidRPr="002052D5">
        <w:rPr>
          <w:rFonts w:cs="Times New Roman"/>
        </w:rPr>
        <w:t xml:space="preserve">materiál </w:t>
      </w:r>
      <w:r w:rsidRPr="00003389">
        <w:rPr>
          <w:rFonts w:cs="Times New Roman"/>
          <w:i/>
        </w:rPr>
        <w:t>Analýza aktuálních otázek výživného</w:t>
      </w:r>
      <w:r w:rsidRPr="002052D5">
        <w:rPr>
          <w:rFonts w:cs="Times New Roman"/>
        </w:rPr>
        <w:t xml:space="preserve"> či </w:t>
      </w:r>
      <w:r>
        <w:rPr>
          <w:rFonts w:cs="Times New Roman"/>
        </w:rPr>
        <w:t xml:space="preserve">již zmíněná </w:t>
      </w:r>
      <w:r w:rsidRPr="00003389">
        <w:rPr>
          <w:rFonts w:cs="Times New Roman"/>
          <w:i/>
        </w:rPr>
        <w:t>Analýza využívání tzv. doporučující tabulky k určování výživného</w:t>
      </w:r>
      <w:r>
        <w:rPr>
          <w:rFonts w:cs="Times New Roman"/>
        </w:rPr>
        <w:t xml:space="preserve">. </w:t>
      </w:r>
      <w:r w:rsidRPr="002052D5">
        <w:rPr>
          <w:rFonts w:cs="Times New Roman"/>
        </w:rPr>
        <w:t>Materiál</w:t>
      </w:r>
      <w:r>
        <w:rPr>
          <w:rFonts w:cs="Times New Roman"/>
        </w:rPr>
        <w:t>y</w:t>
      </w:r>
      <w:r w:rsidRPr="002052D5">
        <w:rPr>
          <w:rFonts w:cs="Times New Roman"/>
        </w:rPr>
        <w:t xml:space="preserve"> j</w:t>
      </w:r>
      <w:r>
        <w:rPr>
          <w:rFonts w:cs="Times New Roman"/>
        </w:rPr>
        <w:t>sou</w:t>
      </w:r>
      <w:r w:rsidRPr="002052D5">
        <w:rPr>
          <w:rFonts w:cs="Times New Roman"/>
        </w:rPr>
        <w:t xml:space="preserve"> dostupn</w:t>
      </w:r>
      <w:r>
        <w:rPr>
          <w:rFonts w:cs="Times New Roman"/>
        </w:rPr>
        <w:t>é</w:t>
      </w:r>
      <w:r w:rsidRPr="002052D5">
        <w:rPr>
          <w:rFonts w:cs="Times New Roman"/>
        </w:rPr>
        <w:t xml:space="preserve"> na </w:t>
      </w:r>
      <w:r>
        <w:rPr>
          <w:rFonts w:cs="Times New Roman"/>
        </w:rPr>
        <w:t>internetových stránkách</w:t>
      </w:r>
      <w:r w:rsidRPr="002052D5">
        <w:rPr>
          <w:rFonts w:cs="Times New Roman"/>
        </w:rPr>
        <w:t xml:space="preserve"> Ministerstva spravedlnosti </w:t>
      </w:r>
      <w:hyperlink r:id="rId3" w:history="1">
        <w:r w:rsidRPr="00EF6A7F">
          <w:rPr>
            <w:rStyle w:val="Hypertextovodkaz"/>
            <w:rFonts w:cs="Times New Roman"/>
          </w:rPr>
          <w:t>zde</w:t>
        </w:r>
      </w:hyperlink>
      <w:r>
        <w:rPr>
          <w:rFonts w:cs="Times New Roman"/>
        </w:rPr>
        <w:t>.</w:t>
      </w:r>
    </w:p>
  </w:footnote>
  <w:footnote w:id="4">
    <w:p w14:paraId="5A8454FB" w14:textId="77777777" w:rsidR="005F14DE" w:rsidRDefault="005F14DE" w:rsidP="005F14DE">
      <w:pPr>
        <w:pStyle w:val="Textpoznpodarou"/>
      </w:pPr>
      <w:r w:rsidRPr="002052D5">
        <w:rPr>
          <w:rStyle w:val="Znakapoznpodarou"/>
          <w:rFonts w:cs="Times New Roman"/>
        </w:rPr>
        <w:footnoteRef/>
      </w:r>
      <w:r w:rsidRPr="002052D5">
        <w:rPr>
          <w:rFonts w:cs="Times New Roman"/>
        </w:rPr>
        <w:t xml:space="preserve"> Viz ustanovení § 913 a 915 zákona č. 89/2012 Sb., občanského zákoníku.</w:t>
      </w:r>
      <w:r>
        <w:t xml:space="preserve"> </w:t>
      </w:r>
    </w:p>
  </w:footnote>
  <w:footnote w:id="5">
    <w:p w14:paraId="67B5E155" w14:textId="0CE0D6EF" w:rsidR="00945447" w:rsidRPr="00BD6B9C" w:rsidRDefault="00945447" w:rsidP="00945447">
      <w:pPr>
        <w:pStyle w:val="Textpoznpodarou"/>
        <w:rPr>
          <w:iCs/>
        </w:rPr>
      </w:pPr>
      <w:r>
        <w:rPr>
          <w:rStyle w:val="Znakapoznpodarou"/>
        </w:rPr>
        <w:footnoteRef/>
      </w:r>
      <w:r>
        <w:t xml:space="preserve"> K potřeb</w:t>
      </w:r>
      <w:r w:rsidR="006B5329">
        <w:t>ě</w:t>
      </w:r>
      <w:r>
        <w:t xml:space="preserve"> zohledňovat v rámci posuzování životní úrovně také podíl partnera či manžela rodiče na uspokojování potřeb rodiny se vyjádřil Ústavní soud v r</w:t>
      </w:r>
      <w:r w:rsidRPr="00062808">
        <w:t>ozhodnutí ze dne 7. 3.  2007</w:t>
      </w:r>
      <w:r>
        <w:t xml:space="preserve">, </w:t>
      </w:r>
      <w:proofErr w:type="spellStart"/>
      <w:r>
        <w:t>s</w:t>
      </w:r>
      <w:r w:rsidRPr="00062808">
        <w:t>p</w:t>
      </w:r>
      <w:proofErr w:type="spellEnd"/>
      <w:r w:rsidRPr="00062808">
        <w:t>. zn. I. ÚS 527/06</w:t>
      </w:r>
      <w:r>
        <w:t>: „</w:t>
      </w:r>
      <w:r w:rsidRPr="004C1908">
        <w:rPr>
          <w:i/>
          <w:szCs w:val="24"/>
        </w:rPr>
        <w:t>Jakkoli se nejedná o osobu povinnou k poskytování výživného dle zákona o rodině, je zřejmé – z obecného pohledu, že pokud by bylo prokázáno v neurčitém počtu případů stejného druhu, že přítel rodiče s ním žije ve společné domácnosti a podílí se na uspokojování potřeb rodiny, mohla by taková blíže specifikovaná částka nalézat odraz i v poměrech rodiče, kterému bylo nezletilé dítě svěřeno do výchovy, a tím i v poměrech nezletilého dítěte. Jde tedy o otázku životní úrovně rodiče a nezletilého dítěte, která je ze své podstaty založena na fakticitě, nikoli na „pouhé“ právní stránce, tj. na tom, zda se jedná či nejedná o osobu dle zákona o rodině k vyživovací povinnosti povinnou; podíl např. druha na uspokojování potřeb rodiny se na životní úrovni člena rodiny projeví fakticky vždy (rozdíl je jen v míře); nepřihlížet k tomu by bylo v rozporu s reálným dějem, konstruováním fikce (což by mohlo vést až k absurdním důsledkům), k čemuž však není žádného rozumného důvodu.</w:t>
      </w:r>
      <w:r>
        <w:rPr>
          <w:i/>
          <w:szCs w:val="24"/>
        </w:rPr>
        <w:t>“</w:t>
      </w:r>
      <w:r>
        <w:rPr>
          <w:iCs/>
          <w:szCs w:val="24"/>
        </w:rPr>
        <w:t>.</w:t>
      </w:r>
    </w:p>
  </w:footnote>
  <w:footnote w:id="6">
    <w:p w14:paraId="21BD006B" w14:textId="77777777" w:rsidR="005F14DE" w:rsidRPr="002052D5" w:rsidRDefault="005F14DE" w:rsidP="005F14DE">
      <w:pPr>
        <w:pStyle w:val="Textpoznpodarou"/>
        <w:rPr>
          <w:rFonts w:cs="Times New Roman"/>
        </w:rPr>
      </w:pPr>
      <w:r w:rsidRPr="002052D5">
        <w:rPr>
          <w:rStyle w:val="Znakapoznpodarou"/>
          <w:rFonts w:cs="Times New Roman"/>
        </w:rPr>
        <w:footnoteRef/>
      </w:r>
      <w:r w:rsidRPr="002052D5">
        <w:rPr>
          <w:rFonts w:cs="Times New Roman"/>
        </w:rPr>
        <w:t xml:space="preserve"> Srov. § 913 odst. 2 občanského zákoníku.</w:t>
      </w:r>
    </w:p>
  </w:footnote>
  <w:footnote w:id="7">
    <w:p w14:paraId="6AC5DD8A" w14:textId="77777777" w:rsidR="005F14DE" w:rsidRPr="002052D5" w:rsidRDefault="005F14DE" w:rsidP="005F14DE">
      <w:pPr>
        <w:pStyle w:val="Textpoznpodarou"/>
        <w:rPr>
          <w:rFonts w:cs="Times New Roman"/>
        </w:rPr>
      </w:pPr>
      <w:r w:rsidRPr="002052D5">
        <w:rPr>
          <w:rStyle w:val="Znakapoznpodarou"/>
          <w:rFonts w:cs="Times New Roman"/>
        </w:rPr>
        <w:footnoteRef/>
      </w:r>
      <w:r w:rsidRPr="002052D5">
        <w:rPr>
          <w:rFonts w:cs="Times New Roman"/>
        </w:rPr>
        <w:t xml:space="preserve"> Srov. nález Ústavního soudu ze dne 16. 12. 2015, </w:t>
      </w:r>
      <w:proofErr w:type="spellStart"/>
      <w:r w:rsidRPr="002052D5">
        <w:rPr>
          <w:rFonts w:cs="Times New Roman"/>
        </w:rPr>
        <w:t>sp</w:t>
      </w:r>
      <w:proofErr w:type="spellEnd"/>
      <w:r w:rsidRPr="002052D5">
        <w:rPr>
          <w:rFonts w:cs="Times New Roman"/>
        </w:rPr>
        <w:t>. zn. IV.ÚS 650/15.</w:t>
      </w:r>
    </w:p>
  </w:footnote>
  <w:footnote w:id="8">
    <w:p w14:paraId="2EBE9DD9" w14:textId="279000FC" w:rsidR="00CC67CA" w:rsidRPr="00CC67CA" w:rsidRDefault="00CC67CA">
      <w:pPr>
        <w:pStyle w:val="Textpoznpodarou"/>
        <w:rPr>
          <w:rFonts w:cs="Times New Roman"/>
        </w:rPr>
      </w:pPr>
      <w:r w:rsidRPr="00CC67CA">
        <w:rPr>
          <w:rStyle w:val="Znakapoznpodarou"/>
          <w:rFonts w:cs="Times New Roman"/>
        </w:rPr>
        <w:footnoteRef/>
      </w:r>
      <w:r w:rsidRPr="00CC67CA">
        <w:rPr>
          <w:rFonts w:cs="Times New Roman"/>
        </w:rPr>
        <w:t xml:space="preserve"> </w:t>
      </w:r>
      <w:r w:rsidRPr="000A7AE6">
        <w:rPr>
          <w:rFonts w:cs="Times New Roman"/>
        </w:rPr>
        <w:t>Je nicméně třeba upozornit, že postup při rozhodování soudu je odlišný</w:t>
      </w:r>
      <w:r w:rsidR="000A7AE6">
        <w:rPr>
          <w:rFonts w:cs="Times New Roman"/>
        </w:rPr>
        <w:t>:</w:t>
      </w:r>
      <w:r w:rsidRPr="000A7AE6">
        <w:rPr>
          <w:rFonts w:cs="Times New Roman"/>
        </w:rPr>
        <w:t xml:space="preserve"> „</w:t>
      </w:r>
      <w:r w:rsidRPr="000A7AE6">
        <w:rPr>
          <w:rFonts w:cs="Times New Roman"/>
          <w:i/>
          <w:iCs/>
        </w:rPr>
        <w:t xml:space="preserve">O výživě nezletilého se rozhoduje také v případě svěření dítěte do střídavé péče rodičů v souladu s ustanovením § 907 odst. 1 </w:t>
      </w:r>
      <w:proofErr w:type="spellStart"/>
      <w:r w:rsidRPr="000A7AE6">
        <w:rPr>
          <w:rFonts w:cs="Times New Roman"/>
          <w:i/>
          <w:iCs/>
        </w:rPr>
        <w:t>obč</w:t>
      </w:r>
      <w:proofErr w:type="spellEnd"/>
      <w:r w:rsidRPr="000A7AE6">
        <w:rPr>
          <w:rFonts w:cs="Times New Roman"/>
          <w:i/>
          <w:iCs/>
        </w:rPr>
        <w:t xml:space="preserve">. zák. Zde, na rozdíl od společné péče, se o výživě dítěte rozhoduje vždy, a to i v případě, že poměry rodičů jsou obdobné, stejně jako intervaly pobytu dítěte u otce a u matky. Na pohled se to může jevit absurdní a nepraktické, zejména tam, kde je totožnost absolutní a úprava tedy znamená permanentní přesun totožných částek z účtu na </w:t>
      </w:r>
      <w:proofErr w:type="gramStart"/>
      <w:r w:rsidRPr="000A7AE6">
        <w:rPr>
          <w:rFonts w:cs="Times New Roman"/>
          <w:i/>
          <w:iCs/>
        </w:rPr>
        <w:t>účet</w:t>
      </w:r>
      <w:proofErr w:type="gramEnd"/>
      <w:r w:rsidRPr="000A7AE6">
        <w:rPr>
          <w:rFonts w:cs="Times New Roman"/>
          <w:i/>
          <w:iCs/>
        </w:rPr>
        <w:t xml:space="preserve"> resp. z ruky do ruky a zase zpět. Soud ovšem nemůže postupovat jinak, neboť jakékoliv započtení pohledávek výživného nezletilých dětí je dle § 1988 odst. 1 </w:t>
      </w:r>
      <w:proofErr w:type="spellStart"/>
      <w:r w:rsidRPr="000A7AE6">
        <w:rPr>
          <w:rFonts w:cs="Times New Roman"/>
          <w:i/>
          <w:iCs/>
        </w:rPr>
        <w:t>obč</w:t>
      </w:r>
      <w:proofErr w:type="spellEnd"/>
      <w:r w:rsidRPr="000A7AE6">
        <w:rPr>
          <w:rFonts w:cs="Times New Roman"/>
          <w:i/>
          <w:iCs/>
        </w:rPr>
        <w:t>. zák. absolutně neplatné.</w:t>
      </w:r>
      <w:r w:rsidRPr="000A7AE6">
        <w:rPr>
          <w:rFonts w:cs="Times New Roman"/>
        </w:rPr>
        <w:t>“</w:t>
      </w:r>
      <w:r w:rsidR="00D65098" w:rsidRPr="000A7AE6">
        <w:rPr>
          <w:rFonts w:cs="Times New Roman"/>
        </w:rPr>
        <w:t>.</w:t>
      </w:r>
      <w:r>
        <w:rPr>
          <w:rFonts w:cs="Times New Roman"/>
        </w:rPr>
        <w:t xml:space="preserve"> Srov. Charvát, Trávníková in </w:t>
      </w:r>
      <w:r w:rsidRPr="002C4855">
        <w:rPr>
          <w:rFonts w:cs="Times New Roman"/>
        </w:rPr>
        <w:t>Jirsa, J. a kol. Občanské soudní řízení. Soudcovský komentář. Kniha III. Zvláštní řízení soudní. Praha: Havlíček Brain Team, 2015</w:t>
      </w:r>
      <w:r>
        <w:rPr>
          <w:rFonts w:cs="Times New Roman"/>
        </w:rPr>
        <w:t>, s. 961 až 962.</w:t>
      </w:r>
    </w:p>
  </w:footnote>
  <w:footnote w:id="9">
    <w:p w14:paraId="43D0DAB6" w14:textId="77777777" w:rsidR="005F14DE" w:rsidRPr="00477A66" w:rsidRDefault="005F14DE" w:rsidP="005F14DE">
      <w:pPr>
        <w:pStyle w:val="Textpoznpodarou"/>
        <w:rPr>
          <w:rFonts w:cs="Times New Roman"/>
        </w:rPr>
      </w:pPr>
      <w:r w:rsidRPr="00477A66">
        <w:rPr>
          <w:rStyle w:val="Znakapoznpodarou"/>
          <w:rFonts w:cs="Times New Roman"/>
        </w:rPr>
        <w:footnoteRef/>
      </w:r>
      <w:r w:rsidRPr="00477A66">
        <w:rPr>
          <w:rFonts w:cs="Times New Roman"/>
        </w:rPr>
        <w:t xml:space="preserve"> Do této etapy spadá také nižší stupeň víceletého gymnázia.</w:t>
      </w:r>
    </w:p>
  </w:footnote>
  <w:footnote w:id="10">
    <w:p w14:paraId="3E636164" w14:textId="3071C82C" w:rsidR="005F14DE" w:rsidRPr="0024115B" w:rsidRDefault="005F14DE" w:rsidP="005F14DE">
      <w:pPr>
        <w:pStyle w:val="Textpoznpodarou"/>
        <w:rPr>
          <w:rFonts w:cs="Times New Roman"/>
        </w:rPr>
      </w:pPr>
      <w:bookmarkStart w:id="0" w:name="_Hlk103174447"/>
      <w:r w:rsidRPr="0024115B">
        <w:rPr>
          <w:rStyle w:val="Znakapoznpodarou"/>
          <w:rFonts w:cs="Times New Roman"/>
        </w:rPr>
        <w:footnoteRef/>
      </w:r>
      <w:r w:rsidRPr="0024115B">
        <w:rPr>
          <w:rFonts w:cs="Times New Roman"/>
        </w:rPr>
        <w:t xml:space="preserve"> </w:t>
      </w:r>
      <w:r w:rsidR="0000653B">
        <w:t>Při určení čistého příjmu se doporučuje odhlédnout od daňových slev, daňového zvýhodnění a daňových odpočtů, které povinný dosud čerpal, ale dále by je již uplatňovat neměl (např. daňové zvýhodnění na vyživované dítě, sleva na manželku nebo sleva na dani na umístění dítěte v předškolním zařízení, tzv. školkovné, odpočet úroků z úvěru na bydlení od základu daně) – tj. určit čistý příjem bez jejich započtení</w:t>
      </w:r>
      <w:r w:rsidRPr="0024115B">
        <w:rPr>
          <w:rFonts w:cs="Times New Roman"/>
        </w:rPr>
        <w:t>.</w:t>
      </w:r>
    </w:p>
    <w:bookmarkEnd w:id="0"/>
  </w:footnote>
  <w:footnote w:id="11">
    <w:p w14:paraId="059C1B0A" w14:textId="77777777" w:rsidR="005F14DE" w:rsidRPr="00A31DE3" w:rsidRDefault="005F14DE" w:rsidP="005F14DE">
      <w:pPr>
        <w:pStyle w:val="Textpoznpodarou"/>
        <w:rPr>
          <w:rFonts w:cs="Times New Roman"/>
        </w:rPr>
      </w:pPr>
      <w:r w:rsidRPr="0024115B">
        <w:rPr>
          <w:rStyle w:val="Znakapoznpodarou"/>
          <w:rFonts w:cs="Times New Roman"/>
        </w:rPr>
        <w:footnoteRef/>
      </w:r>
      <w:r w:rsidRPr="0024115B">
        <w:rPr>
          <w:rFonts w:cs="Times New Roman"/>
        </w:rPr>
        <w:t xml:space="preserve"> Analogicky podle § 277 odst. 1 zákona č. 99/1963 Sb., občanský soudní řád, ve znění pozdějších předpisů.</w:t>
      </w:r>
    </w:p>
  </w:footnote>
  <w:footnote w:id="12">
    <w:p w14:paraId="50C5FCB7" w14:textId="77777777" w:rsidR="005F14DE" w:rsidRDefault="005F14DE" w:rsidP="005F14DE">
      <w:pPr>
        <w:pStyle w:val="Textpoznpodarou"/>
      </w:pPr>
      <w:r>
        <w:rPr>
          <w:rStyle w:val="Znakapoznpodarou"/>
        </w:rPr>
        <w:footnoteRef/>
      </w:r>
      <w:r>
        <w:t xml:space="preserve"> </w:t>
      </w:r>
      <w:r w:rsidRPr="00AE01DD">
        <w:t xml:space="preserve">Pro podrobný výklad k jednotlivým sociálním dávkám a jejich povaze </w:t>
      </w:r>
      <w:r>
        <w:t>viz</w:t>
      </w:r>
      <w:r w:rsidRPr="00AE01DD">
        <w:t xml:space="preserve"> kapitol</w:t>
      </w:r>
      <w:r>
        <w:t>u</w:t>
      </w:r>
      <w:r w:rsidRPr="00AE01DD">
        <w:t xml:space="preserve"> 5</w:t>
      </w:r>
      <w:r>
        <w:t xml:space="preserve"> (</w:t>
      </w:r>
      <w:r w:rsidRPr="00AE01DD">
        <w:t>Sociální dávky a jejich vliv na určování výše výživného</w:t>
      </w:r>
      <w:r>
        <w:t xml:space="preserve">) </w:t>
      </w:r>
      <w:r w:rsidRPr="00AE01DD">
        <w:rPr>
          <w:i/>
        </w:rPr>
        <w:t>Analýzy využívání tzv. doporučující tabulky k určování výživnéh</w:t>
      </w:r>
      <w:r w:rsidRPr="00AE01DD">
        <w:t>o.</w:t>
      </w:r>
    </w:p>
  </w:footnote>
  <w:footnote w:id="13">
    <w:p w14:paraId="567CC727" w14:textId="77777777" w:rsidR="005F14DE" w:rsidRPr="0024115B" w:rsidRDefault="005F14DE" w:rsidP="005F14DE">
      <w:pPr>
        <w:pStyle w:val="Textpoznpodarou"/>
        <w:rPr>
          <w:rFonts w:cs="Times New Roman"/>
        </w:rPr>
      </w:pPr>
      <w:r w:rsidRPr="0024115B">
        <w:rPr>
          <w:rStyle w:val="Znakapoznpodarou"/>
          <w:rFonts w:cs="Times New Roman"/>
        </w:rPr>
        <w:footnoteRef/>
      </w:r>
      <w:r w:rsidRPr="0024115B">
        <w:rPr>
          <w:rFonts w:cs="Times New Roman"/>
        </w:rPr>
        <w:t xml:space="preserve"> </w:t>
      </w:r>
      <w:r w:rsidRPr="00A31DE3">
        <w:rPr>
          <w:rFonts w:cs="Times New Roman"/>
        </w:rPr>
        <w:t xml:space="preserve">Ústavní soud </w:t>
      </w:r>
      <w:r>
        <w:rPr>
          <w:rFonts w:cs="Times New Roman"/>
        </w:rPr>
        <w:t xml:space="preserve">nicméně </w:t>
      </w:r>
      <w:r w:rsidRPr="00A31DE3">
        <w:rPr>
          <w:rFonts w:cs="Times New Roman"/>
        </w:rPr>
        <w:t xml:space="preserve">opakovaně rozhoduje, že započtení cestovních náhrad do příjmu povinné osoby, respektive </w:t>
      </w:r>
      <w:r>
        <w:rPr>
          <w:rFonts w:cs="Times New Roman"/>
        </w:rPr>
        <w:t>jejich zohlednění v rámci skutečností ovlivňujících rozsah vyživovací povinnosti,</w:t>
      </w:r>
      <w:r w:rsidRPr="00A31DE3">
        <w:rPr>
          <w:rFonts w:cs="Times New Roman"/>
        </w:rPr>
        <w:t xml:space="preserve"> není excesivní úvahou soudu. K</w:t>
      </w:r>
      <w:r>
        <w:rPr>
          <w:rFonts w:cs="Times New Roman"/>
        </w:rPr>
        <w:t> </w:t>
      </w:r>
      <w:r w:rsidRPr="00A31DE3">
        <w:rPr>
          <w:rFonts w:cs="Times New Roman"/>
        </w:rPr>
        <w:t>tomu</w:t>
      </w:r>
      <w:r>
        <w:rPr>
          <w:rFonts w:cs="Times New Roman"/>
        </w:rPr>
        <w:t xml:space="preserve"> </w:t>
      </w:r>
      <w:r w:rsidRPr="0024115B">
        <w:rPr>
          <w:rFonts w:cs="Times New Roman"/>
        </w:rPr>
        <w:t xml:space="preserve">například situace řidičů mezinárodní kamionové dopravy za předpokladu, že cestovní náhrady </w:t>
      </w:r>
      <w:proofErr w:type="gramStart"/>
      <w:r w:rsidRPr="0024115B">
        <w:rPr>
          <w:rFonts w:cs="Times New Roman"/>
        </w:rPr>
        <w:t>tvoří</w:t>
      </w:r>
      <w:proofErr w:type="gramEnd"/>
      <w:r w:rsidRPr="0024115B">
        <w:rPr>
          <w:rFonts w:cs="Times New Roman"/>
        </w:rPr>
        <w:t xml:space="preserve"> podstatnou část jejich příjmu, která zároveň není pro daný účel plně spotřebována. K tomu srovnej například usnesení Ústavního soudu ze dne 21.</w:t>
      </w:r>
      <w:r>
        <w:rPr>
          <w:rFonts w:cs="Times New Roman"/>
        </w:rPr>
        <w:t>  </w:t>
      </w:r>
      <w:r w:rsidRPr="0024115B">
        <w:rPr>
          <w:rFonts w:cs="Times New Roman"/>
        </w:rPr>
        <w:t>6.</w:t>
      </w:r>
      <w:r>
        <w:rPr>
          <w:rFonts w:cs="Times New Roman"/>
        </w:rPr>
        <w:t> </w:t>
      </w:r>
      <w:r w:rsidRPr="0024115B">
        <w:rPr>
          <w:rFonts w:cs="Times New Roman"/>
        </w:rPr>
        <w:t xml:space="preserve">2011, </w:t>
      </w:r>
      <w:proofErr w:type="spellStart"/>
      <w:r w:rsidRPr="0024115B">
        <w:rPr>
          <w:rFonts w:cs="Times New Roman"/>
        </w:rPr>
        <w:t>sp</w:t>
      </w:r>
      <w:proofErr w:type="spellEnd"/>
      <w:r w:rsidRPr="0024115B">
        <w:rPr>
          <w:rFonts w:cs="Times New Roman"/>
        </w:rPr>
        <w:t xml:space="preserve">. zn. I. ÚS 996/11, ze dne 11. 8. 2015, </w:t>
      </w:r>
      <w:proofErr w:type="spellStart"/>
      <w:r w:rsidRPr="0024115B">
        <w:rPr>
          <w:rFonts w:cs="Times New Roman"/>
        </w:rPr>
        <w:t>sp</w:t>
      </w:r>
      <w:proofErr w:type="spellEnd"/>
      <w:r w:rsidRPr="0024115B">
        <w:rPr>
          <w:rFonts w:cs="Times New Roman"/>
        </w:rPr>
        <w:t>.</w:t>
      </w:r>
      <w:r>
        <w:rPr>
          <w:rFonts w:cs="Times New Roman"/>
        </w:rPr>
        <w:t> </w:t>
      </w:r>
      <w:r w:rsidRPr="0024115B">
        <w:rPr>
          <w:rFonts w:cs="Times New Roman"/>
        </w:rPr>
        <w:t xml:space="preserve">zn. I. ÚS 1012/15 a ze dne 24. 8. 2021, </w:t>
      </w:r>
      <w:proofErr w:type="spellStart"/>
      <w:r w:rsidRPr="0024115B">
        <w:rPr>
          <w:rFonts w:cs="Times New Roman"/>
        </w:rPr>
        <w:t>sp</w:t>
      </w:r>
      <w:proofErr w:type="spellEnd"/>
      <w:r w:rsidRPr="0024115B">
        <w:rPr>
          <w:rFonts w:cs="Times New Roman"/>
        </w:rPr>
        <w:t>.</w:t>
      </w:r>
      <w:r>
        <w:rPr>
          <w:rFonts w:cs="Times New Roman"/>
        </w:rPr>
        <w:t> </w:t>
      </w:r>
      <w:r w:rsidRPr="0024115B">
        <w:rPr>
          <w:rFonts w:cs="Times New Roman"/>
        </w:rPr>
        <w:t>zn. IV ÚS 1790/21.</w:t>
      </w:r>
      <w:r w:rsidRPr="004D431F">
        <w:rPr>
          <w:rFonts w:cs="Times New Roman"/>
        </w:rPr>
        <w:t xml:space="preserve"> </w:t>
      </w:r>
      <w:r>
        <w:rPr>
          <w:rFonts w:cs="Times New Roman"/>
        </w:rPr>
        <w:t>Je však třeba poukázat i na </w:t>
      </w:r>
      <w:r w:rsidRPr="0024115B">
        <w:rPr>
          <w:rFonts w:cs="Times New Roman"/>
        </w:rPr>
        <w:t xml:space="preserve">rozhodnutí Nejvyššího soudu ze dne 10. 4. 2014, </w:t>
      </w:r>
      <w:proofErr w:type="spellStart"/>
      <w:r w:rsidRPr="0024115B">
        <w:rPr>
          <w:rFonts w:cs="Times New Roman"/>
        </w:rPr>
        <w:t>sp</w:t>
      </w:r>
      <w:proofErr w:type="spellEnd"/>
      <w:r w:rsidRPr="0024115B">
        <w:rPr>
          <w:rFonts w:cs="Times New Roman"/>
        </w:rPr>
        <w:t>.</w:t>
      </w:r>
      <w:r>
        <w:rPr>
          <w:rFonts w:cs="Times New Roman"/>
        </w:rPr>
        <w:t> </w:t>
      </w:r>
      <w:r w:rsidRPr="0024115B">
        <w:rPr>
          <w:rFonts w:cs="Times New Roman"/>
        </w:rPr>
        <w:t xml:space="preserve">zn. 21 </w:t>
      </w:r>
      <w:proofErr w:type="spellStart"/>
      <w:r w:rsidRPr="0024115B">
        <w:rPr>
          <w:rFonts w:cs="Times New Roman"/>
        </w:rPr>
        <w:t>Cdo</w:t>
      </w:r>
      <w:proofErr w:type="spellEnd"/>
      <w:r w:rsidRPr="0024115B">
        <w:rPr>
          <w:rFonts w:cs="Times New Roman"/>
        </w:rPr>
        <w:t xml:space="preserve"> 3774/2013, které deklaruje, že cestovní náhrady nejsou postižitelné výkonem rozhodnutí.</w:t>
      </w:r>
    </w:p>
  </w:footnote>
  <w:footnote w:id="14">
    <w:p w14:paraId="0BF118BC" w14:textId="77777777" w:rsidR="005F14DE" w:rsidRPr="0024115B" w:rsidRDefault="005F14DE" w:rsidP="005F14DE">
      <w:pPr>
        <w:pStyle w:val="Textpoznpodarou"/>
        <w:rPr>
          <w:rFonts w:cs="Times New Roman"/>
        </w:rPr>
      </w:pPr>
      <w:r w:rsidRPr="0024115B">
        <w:rPr>
          <w:rStyle w:val="Znakapoznpodarou"/>
          <w:rFonts w:cs="Times New Roman"/>
        </w:rPr>
        <w:footnoteRef/>
      </w:r>
      <w:r w:rsidRPr="0024115B">
        <w:rPr>
          <w:rFonts w:cs="Times New Roman"/>
        </w:rPr>
        <w:t xml:space="preserve"> Je vhodné zohlednit také měsíc, kdy dochází k výplatě daňových přeplatků na základě ročního zúčtování daně.</w:t>
      </w:r>
    </w:p>
    <w:p w14:paraId="3B4E978C" w14:textId="77777777" w:rsidR="005F14DE" w:rsidRDefault="005F14DE" w:rsidP="005F14DE">
      <w:pPr>
        <w:pStyle w:val="Textpoznpodarou"/>
      </w:pPr>
    </w:p>
  </w:footnote>
  <w:footnote w:id="15">
    <w:p w14:paraId="5118B8FD" w14:textId="77777777" w:rsidR="005F14DE" w:rsidRDefault="005F14DE" w:rsidP="005F14DE">
      <w:pPr>
        <w:pStyle w:val="Textpoznpodarou"/>
      </w:pPr>
      <w:r>
        <w:rPr>
          <w:rStyle w:val="Znakapoznpodarou"/>
        </w:rPr>
        <w:footnoteRef/>
      </w:r>
      <w:r>
        <w:t xml:space="preserve"> </w:t>
      </w:r>
      <w:r>
        <w:rPr>
          <w:rFonts w:cs="Times New Roman"/>
        </w:rPr>
        <w:t>P</w:t>
      </w:r>
      <w:r w:rsidRPr="00493774">
        <w:rPr>
          <w:rFonts w:cs="Times New Roman"/>
        </w:rPr>
        <w:t>růměrn</w:t>
      </w:r>
      <w:r>
        <w:rPr>
          <w:rFonts w:cs="Times New Roman"/>
        </w:rPr>
        <w:t xml:space="preserve">ý </w:t>
      </w:r>
      <w:r w:rsidRPr="00493774">
        <w:rPr>
          <w:rFonts w:cs="Times New Roman"/>
        </w:rPr>
        <w:t>poč</w:t>
      </w:r>
      <w:r>
        <w:rPr>
          <w:rFonts w:cs="Times New Roman"/>
        </w:rPr>
        <w:t>e</w:t>
      </w:r>
      <w:r w:rsidRPr="00493774">
        <w:rPr>
          <w:rFonts w:cs="Times New Roman"/>
        </w:rPr>
        <w:t>t dn</w:t>
      </w:r>
      <w:r>
        <w:rPr>
          <w:rFonts w:cs="Times New Roman"/>
        </w:rPr>
        <w:t>í</w:t>
      </w:r>
      <w:r w:rsidRPr="00493774">
        <w:rPr>
          <w:rFonts w:cs="Times New Roman"/>
        </w:rPr>
        <w:t xml:space="preserve"> v měsíci.</w:t>
      </w:r>
      <w:r>
        <w:t xml:space="preserve"> </w:t>
      </w:r>
    </w:p>
  </w:footnote>
  <w:footnote w:id="16">
    <w:p w14:paraId="3C7DA7AA" w14:textId="626E7F0C" w:rsidR="005F14DE" w:rsidRDefault="005F14DE" w:rsidP="005F14DE">
      <w:pPr>
        <w:pStyle w:val="Textpoznpodarou"/>
      </w:pPr>
      <w:r>
        <w:rPr>
          <w:rStyle w:val="Znakapoznpodarou"/>
        </w:rPr>
        <w:footnoteRef/>
      </w:r>
      <w:r>
        <w:t xml:space="preserve"> U povinného s příjmem </w:t>
      </w:r>
      <w:r w:rsidR="00DD45D5">
        <w:t xml:space="preserve">60 </w:t>
      </w:r>
      <w:r>
        <w:t xml:space="preserve">000 Kč a 4 vyživovacími povinnostmi je při metodě procentem z příjmů kontrolní částka </w:t>
      </w:r>
      <w:r w:rsidR="00DD45D5">
        <w:t xml:space="preserve">30 </w:t>
      </w:r>
      <w:r>
        <w:t xml:space="preserve">000 Kč (50 % z 50 000 Kč). Metodou s použitím pevné spodní hranice se získá kontrolní částka </w:t>
      </w:r>
      <w:r w:rsidR="00DD45D5">
        <w:t>27 274</w:t>
      </w:r>
      <w:r w:rsidR="00B93C17">
        <w:t xml:space="preserve"> </w:t>
      </w:r>
      <w:r>
        <w:t xml:space="preserve">Kč. Následně se pak pracuje jako s kontrolní částkou jen s </w:t>
      </w:r>
      <w:r w:rsidR="00DD45D5">
        <w:t>30 000</w:t>
      </w:r>
      <w:r>
        <w:t xml:space="preserve"> Kč, protože jde o vyšší částku. U povinného s příjmem 16 000 Kč a 2 vyživovacími povinnostmi je při metodě procentem z příjmů kontrolní částka 10 560 Kč (66 % z 16 000 Kč). Metodou s použitím pevné spodní hranice se získá kontrolní částka </w:t>
      </w:r>
      <w:r w:rsidR="00DD45D5">
        <w:t>14 425</w:t>
      </w:r>
      <w:r w:rsidR="005B2459">
        <w:t xml:space="preserve"> </w:t>
      </w:r>
      <w:r>
        <w:t>Kč.</w:t>
      </w:r>
    </w:p>
  </w:footnote>
  <w:footnote w:id="17">
    <w:p w14:paraId="3B95F1DC" w14:textId="0CBD6055" w:rsidR="005F14DE" w:rsidRPr="00470E80" w:rsidRDefault="005F14DE" w:rsidP="005F14DE">
      <w:pPr>
        <w:pStyle w:val="Textpoznpodarou"/>
        <w:rPr>
          <w:rFonts w:cs="Times New Roman"/>
        </w:rPr>
      </w:pPr>
      <w:r>
        <w:rPr>
          <w:rStyle w:val="Znakapoznpodarou"/>
        </w:rPr>
        <w:footnoteRef/>
      </w:r>
      <w:r>
        <w:t xml:space="preserve"> Konkrétní popis postupu výpočtu pevné spodní hranice obsahuje </w:t>
      </w:r>
      <w:r w:rsidRPr="00003389">
        <w:rPr>
          <w:rFonts w:cs="Times New Roman"/>
          <w:i/>
        </w:rPr>
        <w:t>Analýza využívání tzv. doporučující tabulky k určování výživného</w:t>
      </w:r>
      <w:r>
        <w:rPr>
          <w:rFonts w:cs="Times New Roman"/>
        </w:rPr>
        <w:t xml:space="preserve"> v kapitole </w:t>
      </w:r>
      <w:r w:rsidRPr="00EB2841">
        <w:rPr>
          <w:rFonts w:cs="Times New Roman"/>
          <w:i/>
          <w:iCs/>
        </w:rPr>
        <w:t>7.6 Zavedení tzv. kontrolní částky</w:t>
      </w:r>
      <w:r>
        <w:rPr>
          <w:rFonts w:cs="Times New Roman"/>
        </w:rPr>
        <w:t xml:space="preserve">. </w:t>
      </w:r>
      <w:r w:rsidRPr="008869D1">
        <w:t>Při výpočtu kontrolní částky je vhodné vycházet z hodnot pro její určení platných pro počátek období, na nějž se určuje výše výživného</w:t>
      </w:r>
      <w:r>
        <w:t>.</w:t>
      </w:r>
      <w:r w:rsidRPr="00CD6CA9">
        <w:rPr>
          <w:rFonts w:cs="Times New Roman"/>
        </w:rPr>
        <w:t xml:space="preserve"> </w:t>
      </w:r>
    </w:p>
  </w:footnote>
  <w:footnote w:id="18">
    <w:p w14:paraId="026C5B3E" w14:textId="77777777" w:rsidR="005F14DE" w:rsidRDefault="005F14DE" w:rsidP="005F14DE">
      <w:pPr>
        <w:pStyle w:val="Textpoznpodarou"/>
      </w:pPr>
      <w:r>
        <w:rPr>
          <w:rStyle w:val="Znakapoznpodarou"/>
        </w:rPr>
        <w:footnoteRef/>
      </w:r>
      <w:r>
        <w:t xml:space="preserve"> </w:t>
      </w:r>
      <w:bookmarkStart w:id="4" w:name="_Hlk100840002"/>
      <w:r>
        <w:t>Nezabavitelnou částku</w:t>
      </w:r>
      <w:r w:rsidRPr="006D249A">
        <w:t xml:space="preserve"> doporučujeme pro dané účely nezvyšovat o část nezabavitelné částky na každou osobu, které je povinný povinen poskytovat výživné. Tato skutečnost je totiž zohledňována až korekcí pomocí zjišťované kontrolní částky </w:t>
      </w:r>
      <w:bookmarkEnd w:id="4"/>
      <w:r w:rsidRPr="006D249A">
        <w:t>(viz bod 6).</w:t>
      </w:r>
    </w:p>
  </w:footnote>
  <w:footnote w:id="19">
    <w:p w14:paraId="11F51698" w14:textId="77777777" w:rsidR="005F14DE" w:rsidRDefault="005F14DE" w:rsidP="005F14DE">
      <w:pPr>
        <w:pStyle w:val="Textpoznpodarou"/>
      </w:pPr>
      <w:r>
        <w:rPr>
          <w:rStyle w:val="Znakapoznpodarou"/>
        </w:rPr>
        <w:footnoteRef/>
      </w:r>
      <w:r>
        <w:t xml:space="preserve"> </w:t>
      </w:r>
      <w:bookmarkStart w:id="5" w:name="_Hlk100839959"/>
      <w:r w:rsidRPr="006D249A">
        <w:t>Nezabavitelnou částku doporučujeme pro dané účely nezvyšovat o část nezabavitelné částky na manžela povinného. Skutečnost, že má povinný manžela či jinou osobu, s níž žije ve společné domácnosti, by měla být posuzována individuálně a její vliv nelze odpovídajícím způ</w:t>
      </w:r>
      <w:r>
        <w:t>sobem zachytit s využitím tabul</w:t>
      </w:r>
      <w:r w:rsidRPr="006D249A">
        <w:t>k</w:t>
      </w:r>
      <w:r>
        <w:t>y</w:t>
      </w:r>
      <w:r w:rsidRPr="006D249A">
        <w:t>.</w:t>
      </w:r>
      <w:bookmarkEnd w:id="5"/>
    </w:p>
  </w:footnote>
  <w:footnote w:id="20">
    <w:p w14:paraId="02707A20" w14:textId="26FBEC57" w:rsidR="005F14DE" w:rsidRDefault="005F14DE" w:rsidP="005F14DE">
      <w:pPr>
        <w:pStyle w:val="Textpoznpodarou"/>
      </w:pPr>
      <w:r w:rsidRPr="00A943BB">
        <w:rPr>
          <w:rStyle w:val="Znakapoznpodarou"/>
        </w:rPr>
        <w:footnoteRef/>
      </w:r>
      <w:r w:rsidRPr="00A943BB">
        <w:t xml:space="preserve"> </w:t>
      </w:r>
      <w:r w:rsidR="009A4564">
        <w:t xml:space="preserve">2 000 </w:t>
      </w:r>
      <w:r w:rsidRPr="00A943BB">
        <w:t xml:space="preserve">(8 % z </w:t>
      </w:r>
      <w:r w:rsidR="009A4564">
        <w:t>25 000</w:t>
      </w:r>
      <w:r w:rsidRPr="00A943BB">
        <w:t xml:space="preserve">) + </w:t>
      </w:r>
      <w:r w:rsidR="009A4564">
        <w:t>2 500</w:t>
      </w:r>
      <w:r w:rsidRPr="00A943BB">
        <w:t xml:space="preserve"> (10 % z </w:t>
      </w:r>
      <w:r w:rsidR="009A4564">
        <w:t>25 000</w:t>
      </w:r>
      <w:r w:rsidRPr="00A943BB">
        <w:t xml:space="preserve">) + </w:t>
      </w:r>
      <w:r w:rsidR="009A4564">
        <w:t>3 000</w:t>
      </w:r>
      <w:r w:rsidRPr="00A943BB">
        <w:t xml:space="preserve"> (12 % z </w:t>
      </w:r>
      <w:r w:rsidR="009A4564">
        <w:t>25 000</w:t>
      </w:r>
      <w:r w:rsidRPr="00A943BB">
        <w:t xml:space="preserve">) + </w:t>
      </w:r>
      <w:r w:rsidR="009A4564">
        <w:t>3 500</w:t>
      </w:r>
      <w:r w:rsidRPr="00A943BB">
        <w:t xml:space="preserve"> (14 % z </w:t>
      </w:r>
      <w:r w:rsidR="009A4564">
        <w:t>25 000</w:t>
      </w:r>
      <w:r w:rsidRPr="00A943BB">
        <w:t xml:space="preserve">) = </w:t>
      </w:r>
      <w:r w:rsidR="009A4564">
        <w:t>11 000</w:t>
      </w:r>
      <w:r w:rsidRPr="00A943B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1893" w14:textId="77777777" w:rsidR="009563F3" w:rsidRPr="00CF6D95" w:rsidRDefault="009563F3" w:rsidP="002811BC">
    <w:pPr>
      <w:pStyle w:val="Zhlav"/>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5791"/>
    <w:multiLevelType w:val="hybridMultilevel"/>
    <w:tmpl w:val="B36E34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E7C5CC5"/>
    <w:multiLevelType w:val="hybridMultilevel"/>
    <w:tmpl w:val="970E97C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51913CE"/>
    <w:multiLevelType w:val="hybridMultilevel"/>
    <w:tmpl w:val="DB60AF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D2001E"/>
    <w:multiLevelType w:val="hybridMultilevel"/>
    <w:tmpl w:val="5B3EC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E34AD5"/>
    <w:multiLevelType w:val="hybridMultilevel"/>
    <w:tmpl w:val="2DAEB3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4693307"/>
    <w:multiLevelType w:val="hybridMultilevel"/>
    <w:tmpl w:val="DD8AAB78"/>
    <w:lvl w:ilvl="0" w:tplc="DE8097F4">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5583679">
    <w:abstractNumId w:val="2"/>
  </w:num>
  <w:num w:numId="2" w16cid:durableId="1829589058">
    <w:abstractNumId w:val="0"/>
  </w:num>
  <w:num w:numId="3" w16cid:durableId="1389526591">
    <w:abstractNumId w:val="4"/>
  </w:num>
  <w:num w:numId="4" w16cid:durableId="1996258539">
    <w:abstractNumId w:val="5"/>
  </w:num>
  <w:num w:numId="5" w16cid:durableId="1521359636">
    <w:abstractNumId w:val="3"/>
  </w:num>
  <w:num w:numId="6" w16cid:durableId="1984001841">
    <w:abstractNumId w:val="1"/>
  </w:num>
  <w:num w:numId="7" w16cid:durableId="176464387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DE"/>
    <w:rsid w:val="00004245"/>
    <w:rsid w:val="0000653B"/>
    <w:rsid w:val="00063486"/>
    <w:rsid w:val="00066A5A"/>
    <w:rsid w:val="000942AC"/>
    <w:rsid w:val="000A4523"/>
    <w:rsid w:val="000A7AE6"/>
    <w:rsid w:val="000D52E2"/>
    <w:rsid w:val="000E235D"/>
    <w:rsid w:val="000F4A10"/>
    <w:rsid w:val="00125305"/>
    <w:rsid w:val="00177584"/>
    <w:rsid w:val="00184415"/>
    <w:rsid w:val="001D0C1B"/>
    <w:rsid w:val="001F26E4"/>
    <w:rsid w:val="0021054C"/>
    <w:rsid w:val="002800A9"/>
    <w:rsid w:val="002821A7"/>
    <w:rsid w:val="002A423C"/>
    <w:rsid w:val="002B5BED"/>
    <w:rsid w:val="002D13A6"/>
    <w:rsid w:val="00305D46"/>
    <w:rsid w:val="00330757"/>
    <w:rsid w:val="00386A8A"/>
    <w:rsid w:val="00387E84"/>
    <w:rsid w:val="003A009F"/>
    <w:rsid w:val="003B6DBC"/>
    <w:rsid w:val="003F284B"/>
    <w:rsid w:val="004043A1"/>
    <w:rsid w:val="0044115E"/>
    <w:rsid w:val="0047312C"/>
    <w:rsid w:val="004B680B"/>
    <w:rsid w:val="004E2853"/>
    <w:rsid w:val="00500DF2"/>
    <w:rsid w:val="00525D71"/>
    <w:rsid w:val="00593930"/>
    <w:rsid w:val="005A309F"/>
    <w:rsid w:val="005B2459"/>
    <w:rsid w:val="005C3427"/>
    <w:rsid w:val="005F14DE"/>
    <w:rsid w:val="0060178E"/>
    <w:rsid w:val="00616486"/>
    <w:rsid w:val="00622BC7"/>
    <w:rsid w:val="00663135"/>
    <w:rsid w:val="006B5329"/>
    <w:rsid w:val="006D7C89"/>
    <w:rsid w:val="00702DB1"/>
    <w:rsid w:val="0077331C"/>
    <w:rsid w:val="007C4467"/>
    <w:rsid w:val="007C4C94"/>
    <w:rsid w:val="007D70EC"/>
    <w:rsid w:val="007F2273"/>
    <w:rsid w:val="00835CB6"/>
    <w:rsid w:val="0088716A"/>
    <w:rsid w:val="008E51BE"/>
    <w:rsid w:val="008F5AF5"/>
    <w:rsid w:val="00945447"/>
    <w:rsid w:val="009563F3"/>
    <w:rsid w:val="00990729"/>
    <w:rsid w:val="009A4564"/>
    <w:rsid w:val="009E2352"/>
    <w:rsid w:val="00A1448F"/>
    <w:rsid w:val="00A5082C"/>
    <w:rsid w:val="00A67D4F"/>
    <w:rsid w:val="00A81C55"/>
    <w:rsid w:val="00A84196"/>
    <w:rsid w:val="00A84E23"/>
    <w:rsid w:val="00A943BB"/>
    <w:rsid w:val="00B101DF"/>
    <w:rsid w:val="00B32BF8"/>
    <w:rsid w:val="00B5608E"/>
    <w:rsid w:val="00B93C17"/>
    <w:rsid w:val="00BD6B9C"/>
    <w:rsid w:val="00BE2E74"/>
    <w:rsid w:val="00C67BC1"/>
    <w:rsid w:val="00CC67CA"/>
    <w:rsid w:val="00CD3ED4"/>
    <w:rsid w:val="00D01EA1"/>
    <w:rsid w:val="00D02096"/>
    <w:rsid w:val="00D579EB"/>
    <w:rsid w:val="00D65098"/>
    <w:rsid w:val="00DC4059"/>
    <w:rsid w:val="00DD45D5"/>
    <w:rsid w:val="00DE4898"/>
    <w:rsid w:val="00DE77BF"/>
    <w:rsid w:val="00EA544E"/>
    <w:rsid w:val="00EC5824"/>
    <w:rsid w:val="00EF11C5"/>
    <w:rsid w:val="00EF7999"/>
    <w:rsid w:val="00F25B78"/>
    <w:rsid w:val="00F61469"/>
    <w:rsid w:val="00F80F74"/>
    <w:rsid w:val="00F8174D"/>
    <w:rsid w:val="00FF121C"/>
    <w:rsid w:val="00FF4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239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14DE"/>
    <w:pPr>
      <w:jc w:val="both"/>
    </w:pPr>
    <w:rPr>
      <w:rFonts w:ascii="Times New Roman" w:hAnsi="Times New Roman"/>
      <w:sz w:val="24"/>
    </w:rPr>
  </w:style>
  <w:style w:type="paragraph" w:styleId="Nadpis1">
    <w:name w:val="heading 1"/>
    <w:basedOn w:val="Normln"/>
    <w:next w:val="Normln"/>
    <w:link w:val="Nadpis1Char"/>
    <w:uiPriority w:val="9"/>
    <w:qFormat/>
    <w:rsid w:val="005F14DE"/>
    <w:pPr>
      <w:keepNext/>
      <w:keepLines/>
      <w:jc w:val="left"/>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F14DE"/>
    <w:pPr>
      <w:keepNext/>
      <w:numPr>
        <w:numId w:val="4"/>
      </w:numPr>
      <w:spacing w:before="240" w:after="60"/>
      <w:jc w:val="left"/>
      <w:outlineLvl w:val="1"/>
    </w:pPr>
    <w:rPr>
      <w:rFonts w:eastAsiaTheme="majorEastAsia" w:cstheme="majorBidi"/>
      <w:b/>
      <w:bCs/>
      <w:iCs/>
      <w:szCs w:val="28"/>
    </w:rPr>
  </w:style>
  <w:style w:type="paragraph" w:styleId="Nadpis3">
    <w:name w:val="heading 3"/>
    <w:basedOn w:val="Normln"/>
    <w:next w:val="Normln"/>
    <w:link w:val="Nadpis3Char"/>
    <w:uiPriority w:val="9"/>
    <w:unhideWhenUsed/>
    <w:qFormat/>
    <w:rsid w:val="005F14DE"/>
    <w:pPr>
      <w:keepNext/>
      <w:spacing w:before="240" w:after="60"/>
      <w:jc w:val="left"/>
      <w:outlineLvl w:val="2"/>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14DE"/>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rsid w:val="005F14DE"/>
    <w:rPr>
      <w:rFonts w:ascii="Times New Roman" w:eastAsiaTheme="majorEastAsia" w:hAnsi="Times New Roman" w:cstheme="majorBidi"/>
      <w:b/>
      <w:bCs/>
      <w:iCs/>
      <w:sz w:val="24"/>
      <w:szCs w:val="28"/>
    </w:rPr>
  </w:style>
  <w:style w:type="character" w:customStyle="1" w:styleId="Nadpis3Char">
    <w:name w:val="Nadpis 3 Char"/>
    <w:basedOn w:val="Standardnpsmoodstavce"/>
    <w:link w:val="Nadpis3"/>
    <w:uiPriority w:val="9"/>
    <w:rsid w:val="005F14DE"/>
    <w:rPr>
      <w:rFonts w:ascii="Times New Roman" w:eastAsiaTheme="majorEastAsia" w:hAnsi="Times New Roman" w:cstheme="majorBidi"/>
      <w:b/>
      <w:bCs/>
      <w:sz w:val="24"/>
      <w:szCs w:val="26"/>
    </w:rPr>
  </w:style>
  <w:style w:type="character" w:styleId="Hypertextovodkaz">
    <w:name w:val="Hyperlink"/>
    <w:basedOn w:val="Standardnpsmoodstavce"/>
    <w:uiPriority w:val="99"/>
    <w:unhideWhenUsed/>
    <w:rsid w:val="005F14DE"/>
    <w:rPr>
      <w:color w:val="0000FF"/>
      <w:u w:val="single"/>
    </w:rPr>
  </w:style>
  <w:style w:type="paragraph" w:styleId="Textpoznpodarou">
    <w:name w:val="footnote text"/>
    <w:aliases w:val="Footnote Text Char,Schriftart: 9 pt Char,Schriftart: 10 pt Char,Schriftart: 8 pt Char,Char Char Char Char Char Char,Char Char Char Char Char1,Char Char Char Char1,Char3 Char,Char Char1,Char Char Char1,Char Char,Schriftart: 9 pt,Char"/>
    <w:basedOn w:val="Normln"/>
    <w:link w:val="TextpoznpodarouChar"/>
    <w:uiPriority w:val="99"/>
    <w:unhideWhenUsed/>
    <w:rsid w:val="005F14DE"/>
    <w:pPr>
      <w:spacing w:after="0" w:line="240" w:lineRule="auto"/>
    </w:pPr>
    <w:rPr>
      <w:sz w:val="20"/>
      <w:szCs w:val="20"/>
    </w:rPr>
  </w:style>
  <w:style w:type="character" w:customStyle="1" w:styleId="TextpoznpodarouChar">
    <w:name w:val="Text pozn. pod čarou Char"/>
    <w:aliases w:val="Footnote Text Char Char,Schriftart: 9 pt Char Char,Schriftart: 10 pt Char Char,Schriftart: 8 pt Char Char,Char Char Char Char Char Char Char,Char Char Char Char Char1 Char,Char Char Char Char1 Char,Char3 Char Char,Char Char2"/>
    <w:basedOn w:val="Standardnpsmoodstavce"/>
    <w:link w:val="Textpoznpodarou"/>
    <w:uiPriority w:val="99"/>
    <w:rsid w:val="005F14DE"/>
    <w:rPr>
      <w:rFonts w:ascii="Times New Roman" w:hAnsi="Times New Roman"/>
      <w:sz w:val="20"/>
      <w:szCs w:val="20"/>
    </w:rPr>
  </w:style>
  <w:style w:type="character" w:styleId="Znakapoznpodarou">
    <w:name w:val="footnote reference"/>
    <w:aliases w:val="BVI fnr,Footnote symbol"/>
    <w:basedOn w:val="Standardnpsmoodstavce"/>
    <w:uiPriority w:val="99"/>
    <w:unhideWhenUsed/>
    <w:rsid w:val="005F14DE"/>
    <w:rPr>
      <w:vertAlign w:val="superscript"/>
    </w:rPr>
  </w:style>
  <w:style w:type="paragraph" w:styleId="Odstavecseseznamem">
    <w:name w:val="List Paragraph"/>
    <w:basedOn w:val="Normln"/>
    <w:uiPriority w:val="34"/>
    <w:qFormat/>
    <w:rsid w:val="005F14DE"/>
    <w:pPr>
      <w:ind w:left="720"/>
      <w:contextualSpacing/>
    </w:pPr>
  </w:style>
  <w:style w:type="character" w:styleId="Odkaznakoment">
    <w:name w:val="annotation reference"/>
    <w:basedOn w:val="Standardnpsmoodstavce"/>
    <w:uiPriority w:val="99"/>
    <w:semiHidden/>
    <w:unhideWhenUsed/>
    <w:rsid w:val="005F14DE"/>
    <w:rPr>
      <w:sz w:val="16"/>
      <w:szCs w:val="16"/>
    </w:rPr>
  </w:style>
  <w:style w:type="paragraph" w:styleId="Textkomente">
    <w:name w:val="annotation text"/>
    <w:basedOn w:val="Normln"/>
    <w:link w:val="TextkomenteChar"/>
    <w:uiPriority w:val="99"/>
    <w:unhideWhenUsed/>
    <w:rsid w:val="005F14DE"/>
    <w:pPr>
      <w:spacing w:line="240" w:lineRule="auto"/>
    </w:pPr>
    <w:rPr>
      <w:sz w:val="20"/>
      <w:szCs w:val="20"/>
    </w:rPr>
  </w:style>
  <w:style w:type="character" w:customStyle="1" w:styleId="TextkomenteChar">
    <w:name w:val="Text komentáře Char"/>
    <w:basedOn w:val="Standardnpsmoodstavce"/>
    <w:link w:val="Textkomente"/>
    <w:uiPriority w:val="99"/>
    <w:rsid w:val="005F14DE"/>
    <w:rPr>
      <w:rFonts w:ascii="Times New Roman" w:hAnsi="Times New Roman"/>
      <w:sz w:val="20"/>
      <w:szCs w:val="20"/>
    </w:rPr>
  </w:style>
  <w:style w:type="paragraph" w:styleId="Zhlav">
    <w:name w:val="header"/>
    <w:basedOn w:val="Normln"/>
    <w:link w:val="ZhlavChar"/>
    <w:uiPriority w:val="99"/>
    <w:unhideWhenUsed/>
    <w:rsid w:val="005F14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14DE"/>
    <w:rPr>
      <w:rFonts w:ascii="Times New Roman" w:hAnsi="Times New Roman"/>
      <w:sz w:val="24"/>
    </w:rPr>
  </w:style>
  <w:style w:type="paragraph" w:styleId="Zpat">
    <w:name w:val="footer"/>
    <w:basedOn w:val="Normln"/>
    <w:link w:val="ZpatChar"/>
    <w:uiPriority w:val="99"/>
    <w:unhideWhenUsed/>
    <w:rsid w:val="005F14DE"/>
    <w:pPr>
      <w:tabs>
        <w:tab w:val="center" w:pos="4536"/>
        <w:tab w:val="right" w:pos="9072"/>
      </w:tabs>
      <w:spacing w:after="0" w:line="240" w:lineRule="auto"/>
    </w:pPr>
  </w:style>
  <w:style w:type="character" w:customStyle="1" w:styleId="ZpatChar">
    <w:name w:val="Zápatí Char"/>
    <w:basedOn w:val="Standardnpsmoodstavce"/>
    <w:link w:val="Zpat"/>
    <w:uiPriority w:val="99"/>
    <w:rsid w:val="005F14DE"/>
    <w:rPr>
      <w:rFonts w:ascii="Times New Roman" w:hAnsi="Times New Roman"/>
      <w:sz w:val="24"/>
    </w:rPr>
  </w:style>
  <w:style w:type="paragraph" w:styleId="Pedmtkomente">
    <w:name w:val="annotation subject"/>
    <w:basedOn w:val="Textkomente"/>
    <w:next w:val="Textkomente"/>
    <w:link w:val="PedmtkomenteChar"/>
    <w:uiPriority w:val="99"/>
    <w:semiHidden/>
    <w:unhideWhenUsed/>
    <w:rsid w:val="00125305"/>
    <w:rPr>
      <w:b/>
      <w:bCs/>
    </w:rPr>
  </w:style>
  <w:style w:type="character" w:customStyle="1" w:styleId="PedmtkomenteChar">
    <w:name w:val="Předmět komentáře Char"/>
    <w:basedOn w:val="TextkomenteChar"/>
    <w:link w:val="Pedmtkomente"/>
    <w:uiPriority w:val="99"/>
    <w:semiHidden/>
    <w:rsid w:val="00125305"/>
    <w:rPr>
      <w:rFonts w:ascii="Times New Roman" w:hAnsi="Times New Roman"/>
      <w:b/>
      <w:bCs/>
      <w:sz w:val="20"/>
      <w:szCs w:val="20"/>
    </w:rPr>
  </w:style>
  <w:style w:type="character" w:styleId="Sledovanodkaz">
    <w:name w:val="FollowedHyperlink"/>
    <w:basedOn w:val="Standardnpsmoodstavce"/>
    <w:uiPriority w:val="99"/>
    <w:semiHidden/>
    <w:unhideWhenUsed/>
    <w:rsid w:val="00A84196"/>
    <w:rPr>
      <w:color w:val="954F72" w:themeColor="followedHyperlink"/>
      <w:u w:val="single"/>
    </w:rPr>
  </w:style>
  <w:style w:type="character" w:styleId="Nevyeenzmnka">
    <w:name w:val="Unresolved Mention"/>
    <w:basedOn w:val="Standardnpsmoodstavce"/>
    <w:uiPriority w:val="99"/>
    <w:semiHidden/>
    <w:unhideWhenUsed/>
    <w:rsid w:val="00A67D4F"/>
    <w:rPr>
      <w:color w:val="605E5C"/>
      <w:shd w:val="clear" w:color="auto" w:fill="E1DFDD"/>
    </w:rPr>
  </w:style>
  <w:style w:type="paragraph" w:styleId="Revize">
    <w:name w:val="Revision"/>
    <w:hidden/>
    <w:uiPriority w:val="99"/>
    <w:semiHidden/>
    <w:rsid w:val="0047312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47818">
      <w:bodyDiv w:val="1"/>
      <w:marLeft w:val="0"/>
      <w:marRight w:val="0"/>
      <w:marTop w:val="0"/>
      <w:marBottom w:val="0"/>
      <w:divBdr>
        <w:top w:val="none" w:sz="0" w:space="0" w:color="auto"/>
        <w:left w:val="none" w:sz="0" w:space="0" w:color="auto"/>
        <w:bottom w:val="none" w:sz="0" w:space="0" w:color="auto"/>
        <w:right w:val="none" w:sz="0" w:space="0" w:color="auto"/>
      </w:divBdr>
    </w:div>
    <w:div w:id="18753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olvence.justice.cz/kalkulator-splate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cz/web/msp/opatrovnicka-agenda" TargetMode="External"/><Relationship Id="rId2" Type="http://schemas.openxmlformats.org/officeDocument/2006/relationships/hyperlink" Target="https://www.zakonyprolidi.cz/cs/2012-89" TargetMode="External"/><Relationship Id="rId1" Type="http://schemas.openxmlformats.org/officeDocument/2006/relationships/hyperlink" Target="https://www.justice.cz/web/msp/opatrovnicka-agend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128D-21E7-4B3B-9E83-7ACD4A41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3195</Words>
  <Characters>18854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2024-01-04T12:32:00Z</dcterms:created>
  <dcterms:modified xsi:type="dcterms:W3CDTF">2025-03-12T09:32:00Z</dcterms:modified>
</cp:coreProperties>
</file>